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DC008" w14:textId="77777777" w:rsidR="00300C76" w:rsidRDefault="00300C76" w:rsidP="00300C76">
      <w:pPr>
        <w:rPr>
          <w:b/>
          <w:u w:val="single"/>
        </w:rPr>
      </w:pPr>
      <w:r>
        <w:rPr>
          <w:b/>
          <w:u w:val="single"/>
        </w:rPr>
        <w:t>Terms &amp; Conditions applicable to all Affiliate members of the IFoA who became affiliates before 27 January 2021</w:t>
      </w:r>
    </w:p>
    <w:p w14:paraId="7CECC40D" w14:textId="77777777" w:rsidR="00300C76" w:rsidRDefault="00300C76" w:rsidP="00300C76">
      <w:pPr>
        <w:rPr>
          <w:rFonts w:ascii="Arial" w:hAnsi="Arial" w:cs="Arial"/>
          <w:sz w:val="19"/>
          <w:szCs w:val="19"/>
        </w:rPr>
      </w:pPr>
      <w:r>
        <w:rPr>
          <w:rFonts w:ascii="Arial" w:hAnsi="Arial" w:cs="Arial"/>
          <w:sz w:val="19"/>
          <w:szCs w:val="19"/>
        </w:rPr>
        <w:t>Further to Regulation 16 of the IFoA Charter, Bye laws, Rules and Regulations (the “IFoA Constitution”), the terms and conditions below apply to Affiliate members of the IFoA:</w:t>
      </w:r>
    </w:p>
    <w:p w14:paraId="222A1C10" w14:textId="77777777" w:rsidR="00300C76" w:rsidRDefault="00300C76" w:rsidP="00300C76">
      <w:pPr>
        <w:pStyle w:val="ListParagraph"/>
        <w:numPr>
          <w:ilvl w:val="0"/>
          <w:numId w:val="2"/>
        </w:numPr>
        <w:rPr>
          <w:rFonts w:ascii="Arial" w:hAnsi="Arial" w:cs="Arial"/>
          <w:sz w:val="19"/>
          <w:szCs w:val="19"/>
        </w:rPr>
      </w:pPr>
      <w:r>
        <w:rPr>
          <w:rFonts w:ascii="Arial" w:hAnsi="Arial" w:cs="Arial"/>
          <w:sz w:val="19"/>
          <w:szCs w:val="19"/>
        </w:rPr>
        <w:t>As an Affiliate member of the IFoA you agree:</w:t>
      </w:r>
    </w:p>
    <w:p w14:paraId="448356AC" w14:textId="77777777" w:rsidR="00300C76" w:rsidRDefault="00300C76" w:rsidP="00300C76">
      <w:pPr>
        <w:pStyle w:val="ListParagraph"/>
        <w:numPr>
          <w:ilvl w:val="1"/>
          <w:numId w:val="2"/>
        </w:numPr>
        <w:rPr>
          <w:rFonts w:ascii="Arial" w:hAnsi="Arial" w:cs="Arial"/>
          <w:sz w:val="19"/>
          <w:szCs w:val="19"/>
        </w:rPr>
      </w:pPr>
      <w:r>
        <w:rPr>
          <w:rFonts w:ascii="Arial" w:hAnsi="Arial" w:cs="Arial"/>
          <w:sz w:val="19"/>
          <w:szCs w:val="19"/>
        </w:rPr>
        <w:t>to comply with any obligations imposed on you by the IFoA Constitution;</w:t>
      </w:r>
    </w:p>
    <w:p w14:paraId="7DA0DB8C" w14:textId="77777777" w:rsidR="00300C76" w:rsidRDefault="00300C76" w:rsidP="00300C76">
      <w:pPr>
        <w:pStyle w:val="ListParagraph"/>
        <w:numPr>
          <w:ilvl w:val="1"/>
          <w:numId w:val="2"/>
        </w:numPr>
        <w:rPr>
          <w:rFonts w:ascii="Arial" w:hAnsi="Arial" w:cs="Arial"/>
          <w:sz w:val="19"/>
          <w:szCs w:val="19"/>
        </w:rPr>
      </w:pPr>
      <w:r>
        <w:rPr>
          <w:rFonts w:ascii="Arial" w:hAnsi="Arial" w:cs="Arial"/>
          <w:sz w:val="19"/>
          <w:szCs w:val="19"/>
        </w:rPr>
        <w:t>to comply at all times with the Actuaries’ Code;</w:t>
      </w:r>
    </w:p>
    <w:p w14:paraId="1F138C9D" w14:textId="77777777" w:rsidR="00300C76" w:rsidRDefault="00300C76" w:rsidP="00300C76">
      <w:pPr>
        <w:pStyle w:val="ListParagraph"/>
        <w:numPr>
          <w:ilvl w:val="1"/>
          <w:numId w:val="2"/>
        </w:numPr>
        <w:rPr>
          <w:rFonts w:ascii="Arial" w:hAnsi="Arial" w:cs="Arial"/>
          <w:sz w:val="19"/>
          <w:szCs w:val="19"/>
        </w:rPr>
      </w:pPr>
      <w:r>
        <w:rPr>
          <w:rFonts w:ascii="Arial" w:hAnsi="Arial" w:cs="Arial"/>
          <w:sz w:val="19"/>
          <w:szCs w:val="19"/>
        </w:rPr>
        <w:t>to provide true and accurate information in all applications and communications with the IFoA;</w:t>
      </w:r>
    </w:p>
    <w:p w14:paraId="4C061529" w14:textId="77777777" w:rsidR="00300C76" w:rsidRDefault="00300C76" w:rsidP="00300C76">
      <w:pPr>
        <w:pStyle w:val="ListParagraph"/>
        <w:numPr>
          <w:ilvl w:val="1"/>
          <w:numId w:val="2"/>
        </w:numPr>
        <w:rPr>
          <w:rFonts w:ascii="Arial" w:hAnsi="Arial" w:cs="Arial"/>
          <w:sz w:val="19"/>
          <w:szCs w:val="19"/>
        </w:rPr>
      </w:pPr>
      <w:r>
        <w:rPr>
          <w:rFonts w:ascii="Arial" w:hAnsi="Arial" w:cs="Arial"/>
          <w:sz w:val="19"/>
          <w:szCs w:val="19"/>
        </w:rPr>
        <w:t xml:space="preserve">to comply with all reasonable requests from IFoA employees, third party representatives or contractors and observe and adhere to the </w:t>
      </w:r>
      <w:proofErr w:type="spellStart"/>
      <w:r>
        <w:rPr>
          <w:rFonts w:ascii="Arial" w:hAnsi="Arial" w:cs="Arial"/>
          <w:sz w:val="19"/>
          <w:szCs w:val="19"/>
        </w:rPr>
        <w:t>IFoA’s</w:t>
      </w:r>
      <w:proofErr w:type="spellEnd"/>
      <w:r>
        <w:rPr>
          <w:rFonts w:ascii="Arial" w:hAnsi="Arial" w:cs="Arial"/>
          <w:sz w:val="19"/>
          <w:szCs w:val="19"/>
        </w:rPr>
        <w:t xml:space="preserve"> Unreasonable Behaviour Policy found on the IFoA website;</w:t>
      </w:r>
    </w:p>
    <w:p w14:paraId="2066B398" w14:textId="77777777" w:rsidR="00300C76" w:rsidRDefault="00300C76" w:rsidP="00300C76">
      <w:pPr>
        <w:pStyle w:val="ListParagraph"/>
        <w:numPr>
          <w:ilvl w:val="1"/>
          <w:numId w:val="2"/>
        </w:numPr>
        <w:rPr>
          <w:rFonts w:ascii="Arial" w:hAnsi="Arial" w:cs="Arial"/>
          <w:sz w:val="19"/>
          <w:szCs w:val="19"/>
        </w:rPr>
      </w:pPr>
      <w:r>
        <w:rPr>
          <w:rFonts w:ascii="Arial" w:hAnsi="Arial" w:cs="Arial"/>
          <w:sz w:val="19"/>
          <w:szCs w:val="19"/>
        </w:rPr>
        <w:t xml:space="preserve">not to harm the </w:t>
      </w:r>
      <w:proofErr w:type="spellStart"/>
      <w:r>
        <w:rPr>
          <w:rFonts w:ascii="Arial" w:hAnsi="Arial" w:cs="Arial"/>
          <w:sz w:val="19"/>
          <w:szCs w:val="19"/>
        </w:rPr>
        <w:t>IFoA’s</w:t>
      </w:r>
      <w:proofErr w:type="spellEnd"/>
      <w:r>
        <w:rPr>
          <w:rFonts w:ascii="Arial" w:hAnsi="Arial" w:cs="Arial"/>
          <w:sz w:val="19"/>
          <w:szCs w:val="19"/>
        </w:rPr>
        <w:t xml:space="preserve"> reputation or brand; and</w:t>
      </w:r>
    </w:p>
    <w:p w14:paraId="1F047EB3" w14:textId="77777777" w:rsidR="00300C76" w:rsidRDefault="00300C76" w:rsidP="00300C76">
      <w:pPr>
        <w:pStyle w:val="ListParagraph"/>
        <w:numPr>
          <w:ilvl w:val="1"/>
          <w:numId w:val="2"/>
        </w:numPr>
        <w:rPr>
          <w:rFonts w:ascii="Arial" w:hAnsi="Arial" w:cs="Arial"/>
          <w:sz w:val="19"/>
          <w:szCs w:val="19"/>
        </w:rPr>
      </w:pPr>
      <w:r>
        <w:rPr>
          <w:rFonts w:ascii="Arial" w:hAnsi="Arial" w:cs="Arial"/>
          <w:sz w:val="19"/>
          <w:szCs w:val="19"/>
        </w:rPr>
        <w:t xml:space="preserve">to pay your Subscription Fee within the timescale as set out in the </w:t>
      </w:r>
      <w:proofErr w:type="spellStart"/>
      <w:r>
        <w:rPr>
          <w:rFonts w:ascii="Arial" w:hAnsi="Arial" w:cs="Arial"/>
          <w:sz w:val="19"/>
          <w:szCs w:val="19"/>
        </w:rPr>
        <w:t>IFoA’s</w:t>
      </w:r>
      <w:proofErr w:type="spellEnd"/>
      <w:r>
        <w:rPr>
          <w:rFonts w:ascii="Arial" w:hAnsi="Arial" w:cs="Arial"/>
          <w:sz w:val="19"/>
          <w:szCs w:val="19"/>
        </w:rPr>
        <w:t xml:space="preserve"> Subscription Policy (as reviewed, amended and approved by Council from time to time) found on the IFoA website and all other applicable charges when they are due.</w:t>
      </w:r>
    </w:p>
    <w:p w14:paraId="0A7D6083" w14:textId="77777777" w:rsidR="00300C76" w:rsidRDefault="00300C76" w:rsidP="00300C76">
      <w:pPr>
        <w:pStyle w:val="ListParagraph"/>
        <w:ind w:left="1440"/>
        <w:rPr>
          <w:rFonts w:ascii="Arial" w:hAnsi="Arial" w:cs="Arial"/>
          <w:sz w:val="19"/>
          <w:szCs w:val="19"/>
        </w:rPr>
      </w:pPr>
    </w:p>
    <w:p w14:paraId="06EC4002" w14:textId="77777777" w:rsidR="00300C76" w:rsidRDefault="00300C76" w:rsidP="00300C76">
      <w:pPr>
        <w:pStyle w:val="ListParagraph"/>
        <w:numPr>
          <w:ilvl w:val="0"/>
          <w:numId w:val="2"/>
        </w:numPr>
        <w:rPr>
          <w:rFonts w:ascii="Arial" w:hAnsi="Arial" w:cs="Arial"/>
          <w:sz w:val="19"/>
          <w:szCs w:val="19"/>
        </w:rPr>
      </w:pPr>
      <w:r>
        <w:rPr>
          <w:rFonts w:ascii="Arial" w:hAnsi="Arial" w:cs="Arial"/>
          <w:sz w:val="19"/>
          <w:szCs w:val="19"/>
        </w:rPr>
        <w:t xml:space="preserve">Insofar as applicable you will comply with relevant regulatory requirements, including </w:t>
      </w:r>
    </w:p>
    <w:p w14:paraId="30604BF8" w14:textId="77777777" w:rsidR="00300C76" w:rsidRDefault="00300C76" w:rsidP="00300C76">
      <w:pPr>
        <w:pStyle w:val="ListParagraph"/>
        <w:numPr>
          <w:ilvl w:val="1"/>
          <w:numId w:val="2"/>
        </w:numPr>
        <w:rPr>
          <w:rFonts w:ascii="Arial" w:hAnsi="Arial" w:cs="Arial"/>
          <w:sz w:val="19"/>
          <w:szCs w:val="19"/>
        </w:rPr>
      </w:pPr>
      <w:r>
        <w:rPr>
          <w:rFonts w:ascii="Arial" w:hAnsi="Arial" w:cs="Arial"/>
          <w:sz w:val="19"/>
          <w:szCs w:val="19"/>
        </w:rPr>
        <w:t>relevant standards (including Actuarial Profession Standards, the CPD Scheme and, for relevant work within UK geographic scope, the FRC’s Technical Actuarial Standards); and</w:t>
      </w:r>
    </w:p>
    <w:p w14:paraId="794F2841" w14:textId="0A8AF6A8" w:rsidR="00300C76" w:rsidRDefault="00300C76" w:rsidP="00300C76">
      <w:pPr>
        <w:pStyle w:val="ListParagraph"/>
        <w:numPr>
          <w:ilvl w:val="1"/>
          <w:numId w:val="2"/>
        </w:numPr>
        <w:rPr>
          <w:rFonts w:ascii="Arial" w:hAnsi="Arial" w:cs="Arial"/>
          <w:sz w:val="19"/>
          <w:szCs w:val="19"/>
        </w:rPr>
      </w:pPr>
      <w:r>
        <w:rPr>
          <w:rFonts w:ascii="Arial" w:hAnsi="Arial" w:cs="Arial"/>
          <w:sz w:val="19"/>
          <w:szCs w:val="19"/>
        </w:rPr>
        <w:t xml:space="preserve">the </w:t>
      </w:r>
      <w:proofErr w:type="spellStart"/>
      <w:r>
        <w:rPr>
          <w:rFonts w:ascii="Arial" w:hAnsi="Arial" w:cs="Arial"/>
          <w:sz w:val="19"/>
          <w:szCs w:val="19"/>
        </w:rPr>
        <w:t>IFoA’s</w:t>
      </w:r>
      <w:proofErr w:type="spellEnd"/>
      <w:r>
        <w:rPr>
          <w:rFonts w:ascii="Arial" w:hAnsi="Arial" w:cs="Arial"/>
          <w:sz w:val="19"/>
          <w:szCs w:val="19"/>
        </w:rPr>
        <w:t xml:space="preserve"> Disciplinary Scheme.</w:t>
      </w:r>
    </w:p>
    <w:p w14:paraId="6CC84A89" w14:textId="77777777" w:rsidR="00300C76" w:rsidRDefault="00300C76" w:rsidP="00300C76">
      <w:pPr>
        <w:pStyle w:val="ListParagraph"/>
        <w:ind w:left="1440"/>
        <w:rPr>
          <w:rFonts w:ascii="Arial" w:hAnsi="Arial" w:cs="Arial"/>
          <w:sz w:val="19"/>
          <w:szCs w:val="19"/>
        </w:rPr>
      </w:pPr>
    </w:p>
    <w:p w14:paraId="5AE04C99" w14:textId="77777777" w:rsidR="00300C76" w:rsidRDefault="00300C76" w:rsidP="00300C76">
      <w:pPr>
        <w:pStyle w:val="ListParagraph"/>
        <w:ind w:left="1440"/>
        <w:rPr>
          <w:rFonts w:ascii="Arial" w:hAnsi="Arial" w:cs="Arial"/>
          <w:sz w:val="19"/>
          <w:szCs w:val="19"/>
        </w:rPr>
      </w:pPr>
    </w:p>
    <w:p w14:paraId="69E779E6" w14:textId="77777777" w:rsidR="00300C76" w:rsidRDefault="00300C76" w:rsidP="00300C76">
      <w:pPr>
        <w:pStyle w:val="ListParagraph"/>
        <w:numPr>
          <w:ilvl w:val="0"/>
          <w:numId w:val="2"/>
        </w:numPr>
        <w:rPr>
          <w:rFonts w:ascii="Arial" w:hAnsi="Arial" w:cs="Arial"/>
          <w:sz w:val="19"/>
          <w:szCs w:val="19"/>
        </w:rPr>
      </w:pPr>
      <w:r>
        <w:rPr>
          <w:rFonts w:ascii="Arial" w:hAnsi="Arial" w:cs="Arial"/>
          <w:sz w:val="19"/>
          <w:szCs w:val="19"/>
        </w:rPr>
        <w:t xml:space="preserve">As a member of the IFoA, the IFoA will process your personal data.  The </w:t>
      </w:r>
      <w:proofErr w:type="spellStart"/>
      <w:r>
        <w:rPr>
          <w:rFonts w:ascii="Arial" w:hAnsi="Arial" w:cs="Arial"/>
          <w:sz w:val="19"/>
          <w:szCs w:val="19"/>
        </w:rPr>
        <w:t>IFoA’s</w:t>
      </w:r>
      <w:proofErr w:type="spellEnd"/>
      <w:r>
        <w:rPr>
          <w:rFonts w:ascii="Arial" w:hAnsi="Arial" w:cs="Arial"/>
          <w:sz w:val="19"/>
          <w:szCs w:val="19"/>
        </w:rPr>
        <w:t xml:space="preserve"> privacy policy explains how your personal data will be used and your rights. You can view it at </w:t>
      </w:r>
      <w:hyperlink r:id="rId5" w:history="1">
        <w:r>
          <w:rPr>
            <w:rStyle w:val="Hyperlink"/>
          </w:rPr>
          <w:t>https://www.actuaries.org.uk/privacy-policy</w:t>
        </w:r>
      </w:hyperlink>
      <w:r>
        <w:t xml:space="preserve"> .</w:t>
      </w:r>
    </w:p>
    <w:p w14:paraId="703C511B" w14:textId="77777777" w:rsidR="00300C76" w:rsidRDefault="00300C76" w:rsidP="00300C76">
      <w:pPr>
        <w:pStyle w:val="ListParagraph"/>
        <w:rPr>
          <w:rFonts w:ascii="Arial" w:hAnsi="Arial" w:cs="Arial"/>
          <w:sz w:val="19"/>
          <w:szCs w:val="19"/>
        </w:rPr>
      </w:pPr>
    </w:p>
    <w:p w14:paraId="55006FDE" w14:textId="77777777" w:rsidR="00300C76" w:rsidRDefault="00300C76" w:rsidP="00300C76">
      <w:pPr>
        <w:pStyle w:val="ListParagraph"/>
        <w:numPr>
          <w:ilvl w:val="0"/>
          <w:numId w:val="2"/>
        </w:numPr>
        <w:rPr>
          <w:rFonts w:ascii="Arial" w:hAnsi="Arial" w:cs="Arial"/>
          <w:sz w:val="19"/>
          <w:szCs w:val="19"/>
        </w:rPr>
      </w:pPr>
      <w:r>
        <w:rPr>
          <w:rFonts w:ascii="Arial" w:hAnsi="Arial" w:cs="Arial"/>
          <w:sz w:val="19"/>
          <w:szCs w:val="19"/>
        </w:rPr>
        <w:t>In order for us to enable communications between the IFoA and Affiliate members, you must ensure that we have up to date information on your current email address. Unless you tell us otherwise, your email address will be the address we use for all correspondence with you.</w:t>
      </w:r>
    </w:p>
    <w:p w14:paraId="0CD0899E" w14:textId="77777777" w:rsidR="00300C76" w:rsidRDefault="00300C76" w:rsidP="00300C76">
      <w:pPr>
        <w:pStyle w:val="ListParagraph"/>
        <w:rPr>
          <w:rFonts w:ascii="Arial" w:hAnsi="Arial" w:cs="Arial"/>
          <w:sz w:val="19"/>
          <w:szCs w:val="19"/>
        </w:rPr>
      </w:pPr>
    </w:p>
    <w:p w14:paraId="373C3071" w14:textId="5E312013" w:rsidR="00300C76" w:rsidRDefault="00300C76" w:rsidP="00300C76">
      <w:pPr>
        <w:pStyle w:val="ListParagraph"/>
        <w:numPr>
          <w:ilvl w:val="0"/>
          <w:numId w:val="2"/>
        </w:numPr>
      </w:pPr>
      <w:r>
        <w:t>I</w:t>
      </w:r>
      <w:r>
        <w:rPr>
          <w:rFonts w:ascii="Arial" w:hAnsi="Arial" w:cs="Arial"/>
          <w:sz w:val="19"/>
          <w:szCs w:val="19"/>
        </w:rPr>
        <w:t xml:space="preserve">f an Affiliate member has a complaint about the service received from the IFoA, the </w:t>
      </w:r>
      <w:proofErr w:type="spellStart"/>
      <w:r>
        <w:rPr>
          <w:rFonts w:ascii="Arial" w:hAnsi="Arial" w:cs="Arial"/>
          <w:sz w:val="19"/>
          <w:szCs w:val="19"/>
        </w:rPr>
        <w:t>IFoA’s</w:t>
      </w:r>
      <w:proofErr w:type="spellEnd"/>
      <w:r>
        <w:rPr>
          <w:rFonts w:ascii="Arial" w:hAnsi="Arial" w:cs="Arial"/>
          <w:sz w:val="19"/>
          <w:szCs w:val="19"/>
        </w:rPr>
        <w:t xml:space="preserve"> complaints handling procedure explains what to do if you have a complaint about us or our services. You can view it at </w:t>
      </w:r>
      <w:hyperlink r:id="rId6" w:history="1">
        <w:r w:rsidRPr="00300C76">
          <w:rPr>
            <w:rStyle w:val="Hyperlink"/>
            <w:rFonts w:ascii="Arial" w:hAnsi="Arial" w:cs="Arial"/>
            <w:sz w:val="19"/>
            <w:szCs w:val="19"/>
          </w:rPr>
          <w:t>https://www.actuaries.org.uk/documents/ifoa-membership-complaints-policy.</w:t>
        </w:r>
      </w:hyperlink>
    </w:p>
    <w:p w14:paraId="1B1B21D1" w14:textId="77777777" w:rsidR="00300C76" w:rsidRDefault="00300C76" w:rsidP="00300C76">
      <w:pPr>
        <w:pStyle w:val="ListParagraph"/>
      </w:pPr>
    </w:p>
    <w:p w14:paraId="7AECFC54" w14:textId="6AF95496" w:rsidR="00300C76" w:rsidRDefault="00300C76" w:rsidP="00300C76">
      <w:pPr>
        <w:pStyle w:val="ListParagraph"/>
        <w:numPr>
          <w:ilvl w:val="0"/>
          <w:numId w:val="2"/>
        </w:numPr>
        <w:rPr>
          <w:rFonts w:ascii="Arial" w:hAnsi="Arial" w:cs="Arial"/>
          <w:sz w:val="19"/>
          <w:szCs w:val="19"/>
        </w:rPr>
      </w:pPr>
      <w:r>
        <w:rPr>
          <w:rFonts w:ascii="Arial" w:hAnsi="Arial" w:cs="Arial"/>
          <w:sz w:val="19"/>
          <w:szCs w:val="19"/>
        </w:rPr>
        <w:t xml:space="preserve">An Affiliate can resign their membership of the IFoA at any time by contacting </w:t>
      </w:r>
      <w:hyperlink r:id="rId7" w:history="1">
        <w:r w:rsidRPr="00300C76">
          <w:rPr>
            <w:rStyle w:val="Hyperlink"/>
            <w:rFonts w:ascii="Arial" w:hAnsi="Arial" w:cs="Arial"/>
            <w:sz w:val="19"/>
            <w:szCs w:val="19"/>
          </w:rPr>
          <w:t>mailto:memberservices@actuaries.org.uk</w:t>
        </w:r>
      </w:hyperlink>
      <w:r>
        <w:rPr>
          <w:rFonts w:ascii="Arial" w:hAnsi="Arial" w:cs="Arial"/>
          <w:sz w:val="19"/>
          <w:szCs w:val="19"/>
        </w:rPr>
        <w:t xml:space="preserve">. </w:t>
      </w:r>
    </w:p>
    <w:p w14:paraId="70992590" w14:textId="77777777" w:rsidR="00300C76" w:rsidRDefault="00300C76" w:rsidP="00300C76">
      <w:pPr>
        <w:pStyle w:val="ListParagraph"/>
        <w:rPr>
          <w:rFonts w:ascii="Arial" w:hAnsi="Arial" w:cs="Arial"/>
          <w:sz w:val="19"/>
          <w:szCs w:val="19"/>
        </w:rPr>
      </w:pPr>
    </w:p>
    <w:p w14:paraId="3E42F9AD" w14:textId="77777777" w:rsidR="00300C76" w:rsidRDefault="00300C76" w:rsidP="00300C76">
      <w:pPr>
        <w:pStyle w:val="ListParagraph"/>
        <w:numPr>
          <w:ilvl w:val="0"/>
          <w:numId w:val="2"/>
        </w:numPr>
        <w:rPr>
          <w:rFonts w:ascii="Arial" w:hAnsi="Arial" w:cs="Arial"/>
          <w:sz w:val="19"/>
          <w:szCs w:val="19"/>
        </w:rPr>
      </w:pPr>
      <w:r>
        <w:rPr>
          <w:rFonts w:ascii="Arial" w:hAnsi="Arial" w:cs="Arial"/>
          <w:sz w:val="19"/>
          <w:szCs w:val="19"/>
        </w:rPr>
        <w:t xml:space="preserve">The IFoA may change or alter these terms and conditions at its discretion.  </w:t>
      </w:r>
    </w:p>
    <w:p w14:paraId="2A713F23" w14:textId="77777777" w:rsidR="00300C76" w:rsidRDefault="00300C76" w:rsidP="00300C76">
      <w:pPr>
        <w:pStyle w:val="ListParagraph"/>
        <w:rPr>
          <w:rFonts w:ascii="Arial" w:hAnsi="Arial" w:cs="Arial"/>
          <w:sz w:val="19"/>
          <w:szCs w:val="19"/>
        </w:rPr>
      </w:pPr>
    </w:p>
    <w:p w14:paraId="558FDAA9" w14:textId="77777777" w:rsidR="00300C76" w:rsidRDefault="00300C76" w:rsidP="00300C76">
      <w:pPr>
        <w:pStyle w:val="ListParagraph"/>
        <w:rPr>
          <w:rFonts w:ascii="Arial" w:hAnsi="Arial" w:cs="Arial"/>
          <w:sz w:val="19"/>
          <w:szCs w:val="19"/>
        </w:rPr>
      </w:pPr>
    </w:p>
    <w:p w14:paraId="0AC46109" w14:textId="77777777" w:rsidR="00300C76" w:rsidRDefault="00300C76" w:rsidP="00300C76">
      <w:pPr>
        <w:pStyle w:val="Level2Number"/>
        <w:numPr>
          <w:ilvl w:val="0"/>
          <w:numId w:val="0"/>
        </w:numPr>
        <w:tabs>
          <w:tab w:val="left" w:pos="720"/>
        </w:tabs>
        <w:ind w:left="360"/>
      </w:pPr>
    </w:p>
    <w:p w14:paraId="6B3CCEF5" w14:textId="77777777" w:rsidR="003A1E94" w:rsidRDefault="003A1E94"/>
    <w:sectPr w:rsidR="003A1E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F30A8"/>
    <w:multiLevelType w:val="multilevel"/>
    <w:tmpl w:val="5AC0032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5E3E378A"/>
    <w:multiLevelType w:val="multilevel"/>
    <w:tmpl w:val="675EF194"/>
    <w:lvl w:ilvl="0">
      <w:start w:val="1"/>
      <w:numFmt w:val="decimal"/>
      <w:pStyle w:val="Level1Heading"/>
      <w:lvlText w:val="%1"/>
      <w:lvlJc w:val="left"/>
      <w:pPr>
        <w:tabs>
          <w:tab w:val="num" w:pos="720"/>
        </w:tabs>
        <w:ind w:left="720" w:hanging="720"/>
      </w:pPr>
      <w:rPr>
        <w:rFonts w:cs="Times New Roman"/>
      </w:rPr>
    </w:lvl>
    <w:lvl w:ilvl="1">
      <w:start w:val="1"/>
      <w:numFmt w:val="decimal"/>
      <w:pStyle w:val="Level2Number"/>
      <w:lvlText w:val="%1.%2"/>
      <w:lvlJc w:val="left"/>
      <w:pPr>
        <w:tabs>
          <w:tab w:val="num" w:pos="720"/>
        </w:tabs>
        <w:ind w:left="720" w:hanging="720"/>
      </w:pPr>
      <w:rPr>
        <w:rFonts w:cs="Times New Roman"/>
        <w:b w:val="0"/>
        <w:i w:val="0"/>
      </w:rPr>
    </w:lvl>
    <w:lvl w:ilvl="2">
      <w:start w:val="1"/>
      <w:numFmt w:val="decimal"/>
      <w:pStyle w:val="Level3Number"/>
      <w:lvlText w:val="%1.%2.%3"/>
      <w:lvlJc w:val="left"/>
      <w:pPr>
        <w:tabs>
          <w:tab w:val="num" w:pos="1728"/>
        </w:tabs>
        <w:ind w:left="1728" w:hanging="1008"/>
      </w:pPr>
      <w:rPr>
        <w:rFonts w:cs="Times New Roman"/>
        <w:b w:val="0"/>
        <w:i w:val="0"/>
      </w:rPr>
    </w:lvl>
    <w:lvl w:ilvl="3">
      <w:start w:val="1"/>
      <w:numFmt w:val="decimal"/>
      <w:pStyle w:val="Level4Number"/>
      <w:lvlText w:val="%1.%2.%3.%4"/>
      <w:lvlJc w:val="left"/>
      <w:pPr>
        <w:tabs>
          <w:tab w:val="num" w:pos="2880"/>
        </w:tabs>
        <w:ind w:left="2880" w:hanging="1152"/>
      </w:pPr>
      <w:rPr>
        <w:rFonts w:cs="Times New Roman"/>
        <w:b w:val="0"/>
        <w:i w:val="0"/>
      </w:rPr>
    </w:lvl>
    <w:lvl w:ilvl="4">
      <w:start w:val="1"/>
      <w:numFmt w:val="decimal"/>
      <w:pStyle w:val="Level5Number"/>
      <w:lvlText w:val="%1.%2.%3.%4.%5"/>
      <w:lvlJc w:val="left"/>
      <w:pPr>
        <w:tabs>
          <w:tab w:val="num" w:pos="4320"/>
        </w:tabs>
        <w:ind w:left="1440" w:firstLine="1440"/>
      </w:pPr>
      <w:rPr>
        <w:rFonts w:cs="Times New Roman"/>
        <w:b w:val="0"/>
        <w:i w:val="0"/>
      </w:rPr>
    </w:lvl>
    <w:lvl w:ilvl="5">
      <w:start w:val="1"/>
      <w:numFmt w:val="lowerLetter"/>
      <w:pStyle w:val="Level6Number"/>
      <w:lvlText w:val="(%6)"/>
      <w:lvlJc w:val="left"/>
      <w:pPr>
        <w:tabs>
          <w:tab w:val="num" w:pos="5760"/>
        </w:tabs>
        <w:ind w:left="5760" w:hanging="2160"/>
      </w:pPr>
      <w:rPr>
        <w:rFonts w:cs="Times New Roman"/>
      </w:rPr>
    </w:lvl>
    <w:lvl w:ilvl="6">
      <w:start w:val="1"/>
      <w:numFmt w:val="lowerLetter"/>
      <w:lvlText w:val="%7."/>
      <w:lvlJc w:val="left"/>
      <w:pPr>
        <w:ind w:left="2520" w:hanging="360"/>
      </w:pPr>
      <w:rPr>
        <w:rFonts w:cs="Times New Roman"/>
      </w:rPr>
    </w:lvl>
    <w:lvl w:ilvl="7">
      <w:start w:val="1"/>
      <w:numFmt w:val="lowerRoman"/>
      <w:lvlText w:val="%8."/>
      <w:lvlJc w:val="left"/>
      <w:pPr>
        <w:ind w:left="2880" w:hanging="360"/>
      </w:pPr>
      <w:rPr>
        <w:rFonts w:cs="Times New Roman"/>
      </w:rPr>
    </w:lvl>
    <w:lvl w:ilvl="8">
      <w:start w:val="1"/>
      <w:numFmt w:val="lowerLetter"/>
      <w:lvlText w:val="(%9)"/>
      <w:lvlJc w:val="left"/>
      <w:pPr>
        <w:ind w:left="3240" w:hanging="360"/>
      </w:pPr>
      <w:rPr>
        <w:rFonts w:cs="Times New Roman"/>
      </w:rPr>
    </w:lvl>
  </w:abstractNum>
  <w:num w:numId="1" w16cid:durableId="19258423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18357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C76"/>
    <w:rsid w:val="00300C76"/>
    <w:rsid w:val="003A1E94"/>
    <w:rsid w:val="00580420"/>
    <w:rsid w:val="006470CC"/>
    <w:rsid w:val="00BB05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583C3"/>
  <w15:chartTrackingRefBased/>
  <w15:docId w15:val="{1D3A48F2-61C8-4F42-82C1-171DE4BC2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C76"/>
    <w:pPr>
      <w:spacing w:line="254" w:lineRule="auto"/>
    </w:pPr>
    <w:rPr>
      <w:rFonts w:eastAsia="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0C76"/>
    <w:rPr>
      <w:rFonts w:ascii="Times New Roman" w:hAnsi="Times New Roman" w:cs="Times New Roman" w:hint="default"/>
      <w:color w:val="0563C1" w:themeColor="hyperlink"/>
      <w:u w:val="single"/>
    </w:rPr>
  </w:style>
  <w:style w:type="paragraph" w:styleId="ListParagraph">
    <w:name w:val="List Paragraph"/>
    <w:basedOn w:val="Normal"/>
    <w:uiPriority w:val="34"/>
    <w:qFormat/>
    <w:rsid w:val="00300C76"/>
    <w:pPr>
      <w:ind w:left="720"/>
      <w:contextualSpacing/>
    </w:pPr>
  </w:style>
  <w:style w:type="paragraph" w:customStyle="1" w:styleId="Level1Heading">
    <w:name w:val="Level 1 Heading"/>
    <w:basedOn w:val="BodyText"/>
    <w:uiPriority w:val="9"/>
    <w:qFormat/>
    <w:rsid w:val="00300C76"/>
    <w:pPr>
      <w:keepNext/>
      <w:numPr>
        <w:numId w:val="1"/>
      </w:numPr>
      <w:tabs>
        <w:tab w:val="clear" w:pos="720"/>
        <w:tab w:val="num" w:pos="360"/>
      </w:tabs>
      <w:spacing w:after="240" w:line="360" w:lineRule="auto"/>
      <w:ind w:left="0" w:firstLine="0"/>
      <w:outlineLvl w:val="0"/>
    </w:pPr>
    <w:rPr>
      <w:b/>
    </w:rPr>
  </w:style>
  <w:style w:type="paragraph" w:customStyle="1" w:styleId="Level2Number">
    <w:name w:val="Level 2 Number"/>
    <w:basedOn w:val="BodyText"/>
    <w:uiPriority w:val="9"/>
    <w:qFormat/>
    <w:rsid w:val="00300C76"/>
    <w:pPr>
      <w:numPr>
        <w:ilvl w:val="1"/>
        <w:numId w:val="1"/>
      </w:numPr>
      <w:tabs>
        <w:tab w:val="clear" w:pos="720"/>
        <w:tab w:val="num" w:pos="360"/>
      </w:tabs>
      <w:spacing w:after="240" w:line="360" w:lineRule="auto"/>
      <w:ind w:left="0" w:firstLine="0"/>
      <w:outlineLvl w:val="1"/>
    </w:pPr>
  </w:style>
  <w:style w:type="paragraph" w:customStyle="1" w:styleId="Level3Number">
    <w:name w:val="Level 3 Number"/>
    <w:basedOn w:val="BodyText"/>
    <w:uiPriority w:val="14"/>
    <w:qFormat/>
    <w:rsid w:val="00300C76"/>
    <w:pPr>
      <w:numPr>
        <w:ilvl w:val="2"/>
        <w:numId w:val="1"/>
      </w:numPr>
      <w:tabs>
        <w:tab w:val="clear" w:pos="1728"/>
        <w:tab w:val="num" w:pos="360"/>
      </w:tabs>
      <w:spacing w:after="240" w:line="360" w:lineRule="auto"/>
      <w:ind w:left="0" w:firstLine="0"/>
      <w:outlineLvl w:val="2"/>
    </w:pPr>
  </w:style>
  <w:style w:type="paragraph" w:customStyle="1" w:styleId="Level4Number">
    <w:name w:val="Level 4 Number"/>
    <w:basedOn w:val="BodyText"/>
    <w:uiPriority w:val="14"/>
    <w:qFormat/>
    <w:rsid w:val="00300C76"/>
    <w:pPr>
      <w:numPr>
        <w:ilvl w:val="3"/>
        <w:numId w:val="1"/>
      </w:numPr>
      <w:tabs>
        <w:tab w:val="clear" w:pos="2880"/>
        <w:tab w:val="num" w:pos="360"/>
      </w:tabs>
      <w:spacing w:after="240" w:line="360" w:lineRule="auto"/>
      <w:ind w:left="0" w:firstLine="0"/>
      <w:outlineLvl w:val="3"/>
    </w:pPr>
  </w:style>
  <w:style w:type="paragraph" w:customStyle="1" w:styleId="Level5Number">
    <w:name w:val="Level 5 Number"/>
    <w:basedOn w:val="BodyText"/>
    <w:uiPriority w:val="14"/>
    <w:qFormat/>
    <w:rsid w:val="00300C76"/>
    <w:pPr>
      <w:numPr>
        <w:ilvl w:val="4"/>
        <w:numId w:val="1"/>
      </w:numPr>
      <w:tabs>
        <w:tab w:val="clear" w:pos="4320"/>
        <w:tab w:val="num" w:pos="360"/>
      </w:tabs>
      <w:spacing w:after="240" w:line="360" w:lineRule="auto"/>
      <w:ind w:left="0" w:firstLine="0"/>
      <w:outlineLvl w:val="4"/>
    </w:pPr>
  </w:style>
  <w:style w:type="paragraph" w:customStyle="1" w:styleId="Level6Number">
    <w:name w:val="Level 6 Number"/>
    <w:basedOn w:val="BodyText"/>
    <w:uiPriority w:val="99"/>
    <w:semiHidden/>
    <w:rsid w:val="00300C76"/>
    <w:pPr>
      <w:numPr>
        <w:ilvl w:val="5"/>
        <w:numId w:val="1"/>
      </w:numPr>
      <w:tabs>
        <w:tab w:val="clear" w:pos="5760"/>
        <w:tab w:val="num" w:pos="360"/>
      </w:tabs>
      <w:spacing w:after="240" w:line="360" w:lineRule="auto"/>
      <w:ind w:left="0" w:firstLine="0"/>
    </w:pPr>
  </w:style>
  <w:style w:type="paragraph" w:styleId="BodyText">
    <w:name w:val="Body Text"/>
    <w:basedOn w:val="Normal"/>
    <w:link w:val="BodyTextChar"/>
    <w:uiPriority w:val="99"/>
    <w:semiHidden/>
    <w:unhideWhenUsed/>
    <w:rsid w:val="00300C76"/>
    <w:pPr>
      <w:spacing w:after="120"/>
    </w:pPr>
  </w:style>
  <w:style w:type="character" w:customStyle="1" w:styleId="BodyTextChar">
    <w:name w:val="Body Text Char"/>
    <w:basedOn w:val="DefaultParagraphFont"/>
    <w:link w:val="BodyText"/>
    <w:uiPriority w:val="99"/>
    <w:semiHidden/>
    <w:rsid w:val="00300C76"/>
    <w:rPr>
      <w:rFonts w:eastAsia="Times New Roman" w:cs="Times New Roman"/>
      <w:kern w:val="0"/>
      <w14:ligatures w14:val="none"/>
    </w:rPr>
  </w:style>
  <w:style w:type="character" w:styleId="UnresolvedMention">
    <w:name w:val="Unresolved Mention"/>
    <w:basedOn w:val="DefaultParagraphFont"/>
    <w:uiPriority w:val="99"/>
    <w:semiHidden/>
    <w:unhideWhenUsed/>
    <w:rsid w:val="00300C76"/>
    <w:rPr>
      <w:color w:val="605E5C"/>
      <w:shd w:val="clear" w:color="auto" w:fill="E1DFDD"/>
    </w:rPr>
  </w:style>
  <w:style w:type="paragraph" w:styleId="Revision">
    <w:name w:val="Revision"/>
    <w:hidden/>
    <w:uiPriority w:val="99"/>
    <w:semiHidden/>
    <w:rsid w:val="00580420"/>
    <w:pPr>
      <w:spacing w:after="0" w:line="240" w:lineRule="auto"/>
    </w:pPr>
    <w:rPr>
      <w:rFonts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mberservices@actuarie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tuaries.org.uk/documents/ifoa-membership-complaints-policy." TargetMode="External"/><Relationship Id="rId5" Type="http://schemas.openxmlformats.org/officeDocument/2006/relationships/hyperlink" Target="https://www.actuaries.org.uk/privacy-polic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2141</Characters>
  <Application>Microsoft Office Word</Application>
  <DocSecurity>4</DocSecurity>
  <Lines>17</Lines>
  <Paragraphs>5</Paragraphs>
  <ScaleCrop>false</ScaleCrop>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McLauchlin</dc:creator>
  <cp:keywords/>
  <dc:description/>
  <cp:lastModifiedBy>Patricia McLauchlin</cp:lastModifiedBy>
  <cp:revision>2</cp:revision>
  <dcterms:created xsi:type="dcterms:W3CDTF">2023-09-15T13:59:00Z</dcterms:created>
  <dcterms:modified xsi:type="dcterms:W3CDTF">2023-09-15T13:59:00Z</dcterms:modified>
</cp:coreProperties>
</file>