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25" w:rsidRPr="009C6C32" w:rsidRDefault="00D84325" w:rsidP="009C6C32">
      <w:pPr>
        <w:pStyle w:val="Heading2"/>
      </w:pPr>
    </w:p>
    <w:p w:rsidR="00E809E4" w:rsidRPr="004802E3" w:rsidRDefault="00E809E4" w:rsidP="004802E3">
      <w:pPr>
        <w:spacing w:after="0" w:line="250" w:lineRule="exact"/>
        <w:rPr>
          <w:rFonts w:cs="Arial"/>
          <w:color w:val="484E52" w:themeColor="text1" w:themeTint="F2"/>
          <w:szCs w:val="20"/>
        </w:rPr>
      </w:pPr>
    </w:p>
    <w:p w:rsidR="009D752A" w:rsidRDefault="009D752A" w:rsidP="004802E3">
      <w:pPr>
        <w:spacing w:after="0" w:line="250" w:lineRule="exact"/>
        <w:rPr>
          <w:rFonts w:cs="Arial"/>
          <w:color w:val="484E52" w:themeColor="text1" w:themeTint="F2"/>
          <w:szCs w:val="20"/>
        </w:rPr>
      </w:pPr>
    </w:p>
    <w:p w:rsidR="009D752A" w:rsidRDefault="009D752A" w:rsidP="004802E3">
      <w:pPr>
        <w:spacing w:after="0" w:line="250" w:lineRule="exact"/>
        <w:rPr>
          <w:rFonts w:cs="Arial"/>
          <w:color w:val="484E52" w:themeColor="text1" w:themeTint="F2"/>
          <w:szCs w:val="20"/>
        </w:rPr>
      </w:pPr>
    </w:p>
    <w:p w:rsidR="009D752A" w:rsidRDefault="009D752A" w:rsidP="004802E3">
      <w:pPr>
        <w:spacing w:after="0" w:line="250" w:lineRule="exact"/>
        <w:rPr>
          <w:rFonts w:cs="Arial"/>
          <w:color w:val="484E52" w:themeColor="text1" w:themeTint="F2"/>
          <w:szCs w:val="20"/>
        </w:rPr>
      </w:pPr>
    </w:p>
    <w:p w:rsidR="009D752A" w:rsidRDefault="009D752A" w:rsidP="004802E3">
      <w:pPr>
        <w:spacing w:after="0" w:line="250" w:lineRule="exact"/>
        <w:rPr>
          <w:rFonts w:cs="Arial"/>
          <w:color w:val="484E52" w:themeColor="text1" w:themeTint="F2"/>
          <w:szCs w:val="20"/>
        </w:rPr>
      </w:pPr>
    </w:p>
    <w:p w:rsidR="009D752A" w:rsidRDefault="009D752A" w:rsidP="004802E3">
      <w:pPr>
        <w:spacing w:after="0" w:line="250" w:lineRule="exact"/>
        <w:rPr>
          <w:rFonts w:cs="Arial"/>
          <w:color w:val="484E52" w:themeColor="text1" w:themeTint="F2"/>
          <w:szCs w:val="20"/>
        </w:rPr>
      </w:pPr>
    </w:p>
    <w:p w:rsidR="001D1BD8" w:rsidRDefault="001D1BD8" w:rsidP="00B24A17">
      <w:pPr>
        <w:spacing w:after="0" w:line="250" w:lineRule="exact"/>
        <w:rPr>
          <w:rFonts w:cs="Arial"/>
          <w:color w:val="484E52" w:themeColor="text1" w:themeTint="F2"/>
          <w:szCs w:val="20"/>
        </w:rPr>
      </w:pPr>
    </w:p>
    <w:p w:rsidR="00BB7841" w:rsidRDefault="004802E3" w:rsidP="00B24A17">
      <w:pPr>
        <w:spacing w:after="0" w:line="250" w:lineRule="exact"/>
        <w:rPr>
          <w:rFonts w:cs="Arial"/>
        </w:rPr>
      </w:pPr>
      <w:r>
        <w:rPr>
          <w:rFonts w:cs="Arial"/>
          <w:color w:val="484E52" w:themeColor="text1" w:themeTint="F2"/>
          <w:szCs w:val="20"/>
        </w:rPr>
        <w:t>T</w:t>
      </w:r>
      <w:r w:rsidRPr="004802E3">
        <w:rPr>
          <w:rFonts w:cs="Arial"/>
          <w:color w:val="484E52" w:themeColor="text1" w:themeTint="F2"/>
          <w:szCs w:val="20"/>
        </w:rPr>
        <w:t>he Institute and Faculty of Actuaries (IFoA)</w:t>
      </w:r>
      <w:r w:rsidR="003A08EE">
        <w:rPr>
          <w:rFonts w:cs="Arial"/>
          <w:color w:val="484E52" w:themeColor="text1" w:themeTint="F2"/>
          <w:szCs w:val="20"/>
        </w:rPr>
        <w:t xml:space="preserve"> </w:t>
      </w:r>
      <w:r w:rsidRPr="004802E3">
        <w:rPr>
          <w:rFonts w:cs="Arial"/>
          <w:color w:val="484E52" w:themeColor="text1" w:themeTint="F2"/>
          <w:szCs w:val="20"/>
        </w:rPr>
        <w:t>welcomes the opportunity to respond to</w:t>
      </w:r>
      <w:r w:rsidR="003A08EE">
        <w:rPr>
          <w:rFonts w:cs="Arial"/>
          <w:color w:val="484E52" w:themeColor="text1" w:themeTint="F2"/>
          <w:szCs w:val="20"/>
        </w:rPr>
        <w:t xml:space="preserve"> the</w:t>
      </w:r>
      <w:r w:rsidR="00A31E1B">
        <w:rPr>
          <w:rFonts w:cs="Arial"/>
          <w:color w:val="484E52" w:themeColor="text1" w:themeTint="F2"/>
          <w:szCs w:val="20"/>
        </w:rPr>
        <w:t xml:space="preserve"> </w:t>
      </w:r>
      <w:r w:rsidR="003A1E8A">
        <w:rPr>
          <w:rFonts w:cs="Arial"/>
          <w:color w:val="484E52" w:themeColor="text1" w:themeTint="F2"/>
          <w:szCs w:val="20"/>
        </w:rPr>
        <w:t xml:space="preserve">UK </w:t>
      </w:r>
      <w:r w:rsidR="003A08EE">
        <w:rPr>
          <w:rFonts w:cs="Arial"/>
          <w:color w:val="484E52" w:themeColor="text1" w:themeTint="F2"/>
          <w:szCs w:val="20"/>
        </w:rPr>
        <w:t>Work and Pension Committee’s call for evidence on ‘Protecting pension savers – five years on from the Pension Freedoms: Accessing pension savings’.</w:t>
      </w:r>
      <w:r w:rsidR="003A53DE">
        <w:rPr>
          <w:rFonts w:cs="Arial"/>
          <w:color w:val="484E52" w:themeColor="text1" w:themeTint="F2"/>
          <w:szCs w:val="20"/>
        </w:rPr>
        <w:t xml:space="preserve"> </w:t>
      </w:r>
      <w:r w:rsidR="003F5BB9">
        <w:rPr>
          <w:rFonts w:cs="Arial"/>
        </w:rPr>
        <w:t>Below are the key points we wish to make.</w:t>
      </w:r>
    </w:p>
    <w:p w:rsidR="00BB7841" w:rsidRDefault="00BB7841" w:rsidP="00B24A17">
      <w:pPr>
        <w:spacing w:after="0" w:line="250" w:lineRule="exact"/>
        <w:rPr>
          <w:rFonts w:cs="Arial"/>
        </w:rPr>
      </w:pPr>
    </w:p>
    <w:p w:rsidR="00BB7841" w:rsidRPr="00BB7841" w:rsidRDefault="00BB7841" w:rsidP="00B24A17">
      <w:pPr>
        <w:spacing w:after="0" w:line="250" w:lineRule="exact"/>
        <w:rPr>
          <w:rFonts w:cs="Arial"/>
        </w:rPr>
      </w:pPr>
      <w:r w:rsidRPr="00BB7841">
        <w:rPr>
          <w:rFonts w:cs="Arial"/>
          <w:b/>
        </w:rPr>
        <w:t xml:space="preserve">Please note that the IFoA is submitting this response </w:t>
      </w:r>
      <w:r w:rsidR="00255582">
        <w:rPr>
          <w:rFonts w:cs="Arial"/>
          <w:b/>
        </w:rPr>
        <w:t xml:space="preserve">based on our </w:t>
      </w:r>
      <w:r w:rsidRPr="00BB7841">
        <w:rPr>
          <w:rFonts w:cs="Arial"/>
          <w:b/>
        </w:rPr>
        <w:t xml:space="preserve">recent work </w:t>
      </w:r>
      <w:r w:rsidR="00255582">
        <w:rPr>
          <w:rFonts w:cs="Arial"/>
          <w:b/>
        </w:rPr>
        <w:t>for our</w:t>
      </w:r>
      <w:r w:rsidR="00255582" w:rsidRPr="00BB7841">
        <w:rPr>
          <w:rFonts w:cs="Arial"/>
          <w:b/>
        </w:rPr>
        <w:t xml:space="preserve"> </w:t>
      </w:r>
      <w:r w:rsidRPr="00BB7841">
        <w:rPr>
          <w:rFonts w:cs="Arial"/>
          <w:b/>
        </w:rPr>
        <w:t xml:space="preserve">‘Great Risk Transfer’ report and </w:t>
      </w:r>
      <w:r w:rsidR="00255582">
        <w:rPr>
          <w:rFonts w:cs="Arial"/>
          <w:b/>
        </w:rPr>
        <w:t xml:space="preserve">the </w:t>
      </w:r>
      <w:r w:rsidRPr="00BB7841">
        <w:rPr>
          <w:rFonts w:cs="Arial"/>
          <w:b/>
        </w:rPr>
        <w:t xml:space="preserve">work emanating from </w:t>
      </w:r>
      <w:r w:rsidR="00255582">
        <w:rPr>
          <w:rFonts w:cs="Arial"/>
          <w:b/>
        </w:rPr>
        <w:t xml:space="preserve">our </w:t>
      </w:r>
      <w:r w:rsidR="00255582" w:rsidRPr="00255582">
        <w:rPr>
          <w:rFonts w:cs="Arial"/>
          <w:b/>
        </w:rPr>
        <w:t>Pensions CDC and Collective Benefits</w:t>
      </w:r>
      <w:r w:rsidR="00255582">
        <w:rPr>
          <w:rFonts w:cs="Arial"/>
          <w:b/>
        </w:rPr>
        <w:t xml:space="preserve"> W</w:t>
      </w:r>
      <w:r w:rsidRPr="00BB7841">
        <w:rPr>
          <w:rFonts w:cs="Arial"/>
          <w:b/>
        </w:rPr>
        <w:t xml:space="preserve">orking </w:t>
      </w:r>
      <w:r w:rsidR="00255582">
        <w:rPr>
          <w:rFonts w:cs="Arial"/>
          <w:b/>
        </w:rPr>
        <w:t>P</w:t>
      </w:r>
      <w:r w:rsidRPr="00BB7841">
        <w:rPr>
          <w:rFonts w:cs="Arial"/>
          <w:b/>
        </w:rPr>
        <w:t>arty</w:t>
      </w:r>
      <w:r w:rsidR="008E1B4D">
        <w:rPr>
          <w:rFonts w:cs="Arial"/>
          <w:b/>
        </w:rPr>
        <w:t xml:space="preserve"> chaired by Simon Eagle</w:t>
      </w:r>
      <w:r w:rsidRPr="00BB7841">
        <w:rPr>
          <w:rFonts w:cs="Arial"/>
          <w:b/>
        </w:rPr>
        <w:t xml:space="preserve">. As such, we have responded </w:t>
      </w:r>
      <w:r w:rsidR="003A1E8A">
        <w:rPr>
          <w:rFonts w:cs="Arial"/>
          <w:b/>
        </w:rPr>
        <w:t>below</w:t>
      </w:r>
      <w:r w:rsidR="003A1E8A" w:rsidRPr="00BB7841">
        <w:rPr>
          <w:rFonts w:cs="Arial"/>
          <w:b/>
        </w:rPr>
        <w:t xml:space="preserve"> </w:t>
      </w:r>
      <w:r w:rsidRPr="00BB7841">
        <w:rPr>
          <w:rFonts w:cs="Arial"/>
          <w:b/>
        </w:rPr>
        <w:t xml:space="preserve">to </w:t>
      </w:r>
      <w:r w:rsidR="00255582">
        <w:rPr>
          <w:rFonts w:cs="Arial"/>
          <w:b/>
        </w:rPr>
        <w:t xml:space="preserve">only </w:t>
      </w:r>
      <w:r w:rsidRPr="00BB7841">
        <w:rPr>
          <w:rFonts w:cs="Arial"/>
          <w:b/>
        </w:rPr>
        <w:t>those questions that are mo</w:t>
      </w:r>
      <w:r>
        <w:rPr>
          <w:rFonts w:cs="Arial"/>
          <w:b/>
        </w:rPr>
        <w:t xml:space="preserve">st relevant </w:t>
      </w:r>
      <w:r w:rsidR="00255582">
        <w:rPr>
          <w:rFonts w:cs="Arial"/>
          <w:b/>
        </w:rPr>
        <w:t>to our activities in these areas</w:t>
      </w:r>
      <w:r>
        <w:rPr>
          <w:rFonts w:cs="Arial"/>
          <w:b/>
        </w:rPr>
        <w:t xml:space="preserve">. </w:t>
      </w:r>
    </w:p>
    <w:p w:rsidR="00C422AB" w:rsidRDefault="00C422AB" w:rsidP="00983BC0">
      <w:pPr>
        <w:spacing w:after="0" w:line="250" w:lineRule="exact"/>
        <w:rPr>
          <w:rFonts w:cs="Arial"/>
        </w:rPr>
      </w:pPr>
    </w:p>
    <w:p w:rsidR="00BD44CC" w:rsidRDefault="00BD44CC" w:rsidP="00BD44CC">
      <w:pPr>
        <w:rPr>
          <w:rFonts w:cs="Arial"/>
        </w:rPr>
      </w:pPr>
      <w:r>
        <w:rPr>
          <w:rFonts w:cs="Arial"/>
        </w:rPr>
        <w:t xml:space="preserve">For further discussion on any of the points made below, please contact Caolan Ward in the first instance on </w:t>
      </w:r>
      <w:hyperlink r:id="rId11" w:history="1">
        <w:r w:rsidRPr="00CB64DE">
          <w:rPr>
            <w:rStyle w:val="Hyperlink"/>
            <w:rFonts w:cs="Arial"/>
          </w:rPr>
          <w:t>Caolan.ward@actuaries.org.uk</w:t>
        </w:r>
      </w:hyperlink>
    </w:p>
    <w:p w:rsidR="00BD44CC" w:rsidRPr="00BD44CC" w:rsidRDefault="00BD44CC" w:rsidP="00BD44CC">
      <w:pPr>
        <w:rPr>
          <w:rFonts w:cs="Arial"/>
        </w:rPr>
      </w:pPr>
    </w:p>
    <w:p w:rsidR="008355AB" w:rsidRDefault="008355AB" w:rsidP="00C422AB">
      <w:pPr>
        <w:pStyle w:val="ListParagraph"/>
        <w:rPr>
          <w:rFonts w:cs="Arial"/>
          <w:highlight w:val="yellow"/>
        </w:rPr>
      </w:pPr>
    </w:p>
    <w:p w:rsidR="008355AB" w:rsidRDefault="008355AB" w:rsidP="00C422AB">
      <w:pPr>
        <w:pStyle w:val="ListParagraph"/>
        <w:rPr>
          <w:rFonts w:cs="Arial"/>
          <w:highlight w:val="yellow"/>
        </w:rPr>
      </w:pPr>
    </w:p>
    <w:p w:rsidR="008355AB" w:rsidRDefault="008355AB" w:rsidP="00C422AB">
      <w:pPr>
        <w:pStyle w:val="ListParagraph"/>
        <w:rPr>
          <w:rFonts w:cs="Arial"/>
          <w:highlight w:val="yellow"/>
        </w:rPr>
      </w:pPr>
    </w:p>
    <w:p w:rsidR="008355AB" w:rsidRDefault="008355AB" w:rsidP="00C422AB">
      <w:pPr>
        <w:pStyle w:val="ListParagraph"/>
        <w:rPr>
          <w:rFonts w:cs="Arial"/>
          <w:highlight w:val="yellow"/>
        </w:rPr>
      </w:pPr>
    </w:p>
    <w:p w:rsidR="008355AB" w:rsidRDefault="008355AB" w:rsidP="00C422AB">
      <w:pPr>
        <w:pStyle w:val="ListParagraph"/>
        <w:rPr>
          <w:rFonts w:cs="Arial"/>
          <w:highlight w:val="yellow"/>
        </w:rPr>
      </w:pPr>
    </w:p>
    <w:p w:rsidR="008355AB" w:rsidRDefault="008355AB" w:rsidP="00C422AB">
      <w:pPr>
        <w:pStyle w:val="ListParagraph"/>
        <w:rPr>
          <w:rFonts w:cs="Arial"/>
          <w:highlight w:val="yellow"/>
        </w:rPr>
      </w:pPr>
    </w:p>
    <w:p w:rsidR="008E1B4D" w:rsidRPr="0025345D" w:rsidRDefault="008E1B4D" w:rsidP="00FB4776">
      <w:pPr>
        <w:pStyle w:val="ListParagraph"/>
        <w:rPr>
          <w:rFonts w:cs="Arial"/>
        </w:rPr>
      </w:pPr>
    </w:p>
    <w:p w:rsidR="00C422AB" w:rsidRDefault="00FB4776" w:rsidP="008E1B4D">
      <w:pPr>
        <w:rPr>
          <w:rFonts w:cs="Arial"/>
        </w:rPr>
      </w:pPr>
      <w:r>
        <w:rPr>
          <w:rFonts w:cs="Arial"/>
          <w:noProof/>
          <w:szCs w:val="20"/>
          <w:lang w:eastAsia="en-GB"/>
        </w:rPr>
        <w:lastRenderedPageBreak/>
        <mc:AlternateContent>
          <mc:Choice Requires="wps">
            <w:drawing>
              <wp:anchor distT="0" distB="0" distL="114300" distR="114300" simplePos="0" relativeHeight="251659264" behindDoc="1" locked="0" layoutInCell="1" allowOverlap="1" wp14:anchorId="0A877CCF" wp14:editId="0ACBBCE3">
                <wp:simplePos x="0" y="0"/>
                <wp:positionH relativeFrom="margin">
                  <wp:posOffset>-97344</wp:posOffset>
                </wp:positionH>
                <wp:positionV relativeFrom="page">
                  <wp:posOffset>462846</wp:posOffset>
                </wp:positionV>
                <wp:extent cx="6191885" cy="8001000"/>
                <wp:effectExtent l="19050" t="19050" r="18415" b="19050"/>
                <wp:wrapTight wrapText="bothSides">
                  <wp:wrapPolygon edited="0">
                    <wp:start x="-66" y="-51"/>
                    <wp:lineTo x="-66" y="21600"/>
                    <wp:lineTo x="21598" y="21600"/>
                    <wp:lineTo x="21598" y="-51"/>
                    <wp:lineTo x="-66" y="-51"/>
                  </wp:wrapPolygon>
                </wp:wrapTight>
                <wp:docPr id="9" name="Text Box 9"/>
                <wp:cNvGraphicFramePr/>
                <a:graphic xmlns:a="http://schemas.openxmlformats.org/drawingml/2006/main">
                  <a:graphicData uri="http://schemas.microsoft.com/office/word/2010/wordprocessingShape">
                    <wps:wsp>
                      <wps:cNvSpPr txBox="1"/>
                      <wps:spPr>
                        <a:xfrm>
                          <a:off x="0" y="0"/>
                          <a:ext cx="6191885" cy="8001000"/>
                        </a:xfrm>
                        <a:prstGeom prst="rect">
                          <a:avLst/>
                        </a:prstGeom>
                        <a:solidFill>
                          <a:schemeClr val="lt1"/>
                        </a:solidFill>
                        <a:ln w="28575">
                          <a:solidFill>
                            <a:srgbClr val="D9AB16"/>
                          </a:solidFill>
                        </a:ln>
                        <a:effectLst/>
                      </wps:spPr>
                      <wps:style>
                        <a:lnRef idx="0">
                          <a:schemeClr val="accent1"/>
                        </a:lnRef>
                        <a:fillRef idx="0">
                          <a:schemeClr val="accent1"/>
                        </a:fillRef>
                        <a:effectRef idx="0">
                          <a:schemeClr val="accent1"/>
                        </a:effectRef>
                        <a:fontRef idx="minor">
                          <a:schemeClr val="dk1"/>
                        </a:fontRef>
                      </wps:style>
                      <wps:txbx>
                        <w:txbxContent>
                          <w:p w:rsidR="00480910" w:rsidRPr="00BB7841" w:rsidRDefault="00480910" w:rsidP="0098594B">
                            <w:pPr>
                              <w:pStyle w:val="ListParagraph"/>
                              <w:numPr>
                                <w:ilvl w:val="0"/>
                                <w:numId w:val="18"/>
                              </w:numPr>
                              <w:rPr>
                                <w:rFonts w:cs="Arial"/>
                                <w:b/>
                              </w:rPr>
                            </w:pPr>
                            <w:r w:rsidRPr="00BB7841">
                              <w:rPr>
                                <w:rFonts w:cs="Arial"/>
                                <w:b/>
                              </w:rPr>
                              <w:t>Do people have access to a range of pension options to meet their needs for later life and how might these needs change in future?</w:t>
                            </w:r>
                          </w:p>
                          <w:p w:rsidR="00BB7841" w:rsidRDefault="00BB7841" w:rsidP="00BB7841">
                            <w:pPr>
                              <w:pStyle w:val="ListParagraph"/>
                              <w:rPr>
                                <w:rFonts w:cs="Arial"/>
                              </w:rPr>
                            </w:pPr>
                          </w:p>
                          <w:p w:rsidR="00480910" w:rsidRDefault="008355AB" w:rsidP="00BB7841">
                            <w:pPr>
                              <w:pStyle w:val="ListParagraph"/>
                              <w:rPr>
                                <w:rFonts w:cs="Arial"/>
                              </w:rPr>
                            </w:pPr>
                            <w:r>
                              <w:rPr>
                                <w:rFonts w:cs="Arial"/>
                              </w:rPr>
                              <w:t>A</w:t>
                            </w:r>
                            <w:r w:rsidR="0025345D">
                              <w:rPr>
                                <w:rFonts w:cs="Arial"/>
                              </w:rPr>
                              <w:t>lthough</w:t>
                            </w:r>
                            <w:r w:rsidR="00BB7841">
                              <w:rPr>
                                <w:rFonts w:cs="Arial"/>
                              </w:rPr>
                              <w:t xml:space="preserve"> </w:t>
                            </w:r>
                            <w:r w:rsidR="00255582">
                              <w:rPr>
                                <w:rFonts w:cs="Arial"/>
                              </w:rPr>
                              <w:t xml:space="preserve">in law </w:t>
                            </w:r>
                            <w:r w:rsidR="00BB7841">
                              <w:rPr>
                                <w:rFonts w:cs="Arial"/>
                              </w:rPr>
                              <w:t xml:space="preserve">there are </w:t>
                            </w:r>
                            <w:r w:rsidR="00255582">
                              <w:rPr>
                                <w:rFonts w:cs="Arial"/>
                              </w:rPr>
                              <w:t xml:space="preserve">currently </w:t>
                            </w:r>
                            <w:r w:rsidR="00BB7841">
                              <w:rPr>
                                <w:rFonts w:cs="Arial"/>
                              </w:rPr>
                              <w:t xml:space="preserve">numerous pension options available for </w:t>
                            </w:r>
                            <w:r w:rsidR="00255582">
                              <w:rPr>
                                <w:rFonts w:cs="Arial"/>
                              </w:rPr>
                              <w:t xml:space="preserve">individuals </w:t>
                            </w:r>
                            <w:r w:rsidR="00BB7841">
                              <w:rPr>
                                <w:rFonts w:cs="Arial"/>
                              </w:rPr>
                              <w:t xml:space="preserve">in the UK, </w:t>
                            </w:r>
                            <w:r w:rsidR="00D600CD">
                              <w:rPr>
                                <w:rFonts w:cs="Arial"/>
                              </w:rPr>
                              <w:t xml:space="preserve">many individuals’ employers no longer provide access to defined benefit pensions.  This leaves </w:t>
                            </w:r>
                            <w:r w:rsidR="00C04129">
                              <w:rPr>
                                <w:rFonts w:cs="Arial"/>
                              </w:rPr>
                              <w:t xml:space="preserve">just one option, </w:t>
                            </w:r>
                            <w:r>
                              <w:rPr>
                                <w:rFonts w:cs="Arial"/>
                              </w:rPr>
                              <w:t>D</w:t>
                            </w:r>
                            <w:r w:rsidR="00D600CD">
                              <w:rPr>
                                <w:rFonts w:cs="Arial"/>
                              </w:rPr>
                              <w:t xml:space="preserve">efined </w:t>
                            </w:r>
                            <w:r>
                              <w:rPr>
                                <w:rFonts w:cs="Arial"/>
                              </w:rPr>
                              <w:t>C</w:t>
                            </w:r>
                            <w:r w:rsidR="00D600CD">
                              <w:rPr>
                                <w:rFonts w:cs="Arial"/>
                              </w:rPr>
                              <w:t xml:space="preserve">ontribution </w:t>
                            </w:r>
                            <w:r>
                              <w:rPr>
                                <w:rFonts w:cs="Arial"/>
                              </w:rPr>
                              <w:t xml:space="preserve">(DC) </w:t>
                            </w:r>
                            <w:r w:rsidR="00D600CD">
                              <w:rPr>
                                <w:rFonts w:cs="Arial"/>
                              </w:rPr>
                              <w:t>pensions</w:t>
                            </w:r>
                            <w:r w:rsidR="00C04129">
                              <w:rPr>
                                <w:rFonts w:cs="Arial"/>
                              </w:rPr>
                              <w:t>.  A</w:t>
                            </w:r>
                            <w:r w:rsidR="00D600CD">
                              <w:rPr>
                                <w:rFonts w:cs="Arial"/>
                              </w:rPr>
                              <w:t xml:space="preserve">lthough </w:t>
                            </w:r>
                            <w:r w:rsidR="00C04129">
                              <w:rPr>
                                <w:rFonts w:cs="Arial"/>
                              </w:rPr>
                              <w:t xml:space="preserve">DC </w:t>
                            </w:r>
                            <w:r w:rsidR="00D600CD">
                              <w:rPr>
                                <w:rFonts w:cs="Arial"/>
                              </w:rPr>
                              <w:t xml:space="preserve">might be well suited to many individuals, </w:t>
                            </w:r>
                            <w:r w:rsidR="00C04129">
                              <w:rPr>
                                <w:rFonts w:cs="Arial"/>
                              </w:rPr>
                              <w:t xml:space="preserve">in its current form it </w:t>
                            </w:r>
                            <w:r w:rsidR="00D600CD">
                              <w:rPr>
                                <w:rFonts w:cs="Arial"/>
                              </w:rPr>
                              <w:t xml:space="preserve">would not meet </w:t>
                            </w:r>
                            <w:r>
                              <w:rPr>
                                <w:rFonts w:cs="Arial"/>
                              </w:rPr>
                              <w:t xml:space="preserve">well </w:t>
                            </w:r>
                            <w:r w:rsidR="00D600CD">
                              <w:rPr>
                                <w:rFonts w:cs="Arial"/>
                              </w:rPr>
                              <w:t xml:space="preserve">the needs of others, especially those who want a regular retirement income for whole of life, no matter how long they live, but do not want to meet the expense of an insured annuity.  Therefore we are of the view that there is not currently </w:t>
                            </w:r>
                            <w:r>
                              <w:rPr>
                                <w:rFonts w:cs="Arial"/>
                              </w:rPr>
                              <w:t xml:space="preserve">a </w:t>
                            </w:r>
                            <w:r w:rsidR="00D600CD">
                              <w:rPr>
                                <w:rFonts w:cs="Arial"/>
                              </w:rPr>
                              <w:t xml:space="preserve">sufficient range </w:t>
                            </w:r>
                            <w:r w:rsidR="00CA4082">
                              <w:rPr>
                                <w:rFonts w:cs="Arial"/>
                              </w:rPr>
                              <w:t>of pension options</w:t>
                            </w:r>
                            <w:r w:rsidR="00C04129">
                              <w:rPr>
                                <w:rFonts w:cs="Arial"/>
                              </w:rPr>
                              <w:t xml:space="preserve"> in the UK</w:t>
                            </w:r>
                            <w:r>
                              <w:rPr>
                                <w:rFonts w:cs="Arial"/>
                              </w:rPr>
                              <w:t xml:space="preserve">.  </w:t>
                            </w:r>
                            <w:r w:rsidR="00C04129">
                              <w:rPr>
                                <w:rFonts w:cs="Arial"/>
                              </w:rPr>
                              <w:t>And so w</w:t>
                            </w:r>
                            <w:r>
                              <w:rPr>
                                <w:rFonts w:cs="Arial"/>
                              </w:rPr>
                              <w:t xml:space="preserve">e </w:t>
                            </w:r>
                            <w:r w:rsidR="00CA4082">
                              <w:rPr>
                                <w:rFonts w:cs="Arial"/>
                              </w:rPr>
                              <w:t>are encouraged by the Government’s recent activities in this area and the W&amp;PC’s inquiry.</w:t>
                            </w:r>
                            <w:r w:rsidR="00255582">
                              <w:rPr>
                                <w:rFonts w:cs="Arial"/>
                              </w:rPr>
                              <w:t xml:space="preserve"> </w:t>
                            </w:r>
                          </w:p>
                          <w:p w:rsidR="00401959" w:rsidRDefault="00401959" w:rsidP="00BB7841">
                            <w:pPr>
                              <w:pStyle w:val="ListParagraph"/>
                              <w:rPr>
                                <w:rFonts w:cs="Arial"/>
                              </w:rPr>
                            </w:pPr>
                          </w:p>
                          <w:p w:rsidR="00401959" w:rsidRDefault="00401959" w:rsidP="00BB7841">
                            <w:pPr>
                              <w:pStyle w:val="ListParagraph"/>
                              <w:rPr>
                                <w:rFonts w:cs="Arial"/>
                              </w:rPr>
                            </w:pPr>
                            <w:r>
                              <w:rPr>
                                <w:rFonts w:cs="Arial"/>
                              </w:rPr>
                              <w:t xml:space="preserve">Connected with this, IFoA has identified that over recent decades there has been </w:t>
                            </w:r>
                            <w:r w:rsidDel="00401959">
                              <w:rPr>
                                <w:rFonts w:cs="Arial"/>
                              </w:rPr>
                              <w:t>a trend of the</w:t>
                            </w:r>
                            <w:r w:rsidRPr="00BB7841" w:rsidDel="00401959">
                              <w:rPr>
                                <w:rFonts w:cs="Arial"/>
                              </w:rPr>
                              <w:t xml:space="preserve"> transfer </w:t>
                            </w:r>
                            <w:r w:rsidDel="00401959">
                              <w:rPr>
                                <w:rFonts w:cs="Arial"/>
                              </w:rPr>
                              <w:t xml:space="preserve">of </w:t>
                            </w:r>
                            <w:r w:rsidRPr="00BB7841" w:rsidDel="00401959">
                              <w:rPr>
                                <w:rFonts w:cs="Arial"/>
                              </w:rPr>
                              <w:t>risks from institutions – such as employers, the state and financial services providers – to individuals.</w:t>
                            </w:r>
                            <w:r w:rsidRPr="00401959" w:rsidDel="00401959">
                              <w:rPr>
                                <w:rFonts w:cs="Arial"/>
                              </w:rPr>
                              <w:t xml:space="preserve"> </w:t>
                            </w:r>
                            <w:r w:rsidRPr="00BB7841" w:rsidDel="00401959">
                              <w:rPr>
                                <w:rFonts w:cs="Arial"/>
                              </w:rPr>
                              <w:t xml:space="preserve">Since the start of 2020 the IFoA has been campaigning on what we have termed ‘the </w:t>
                            </w:r>
                            <w:r w:rsidRPr="00FB4776" w:rsidDel="00401959">
                              <w:rPr>
                                <w:rFonts w:cs="Arial"/>
                              </w:rPr>
                              <w:t>Great Risk Transfer’ (GRT)</w:t>
                            </w:r>
                            <w:r w:rsidRPr="00FB4776">
                              <w:rPr>
                                <w:rFonts w:cs="Arial"/>
                              </w:rPr>
                              <w:t xml:space="preserve">, and the consequences it may have for pension savers.  Please see the box </w:t>
                            </w:r>
                            <w:r w:rsidR="00C04129">
                              <w:rPr>
                                <w:rFonts w:cs="Arial"/>
                              </w:rPr>
                              <w:t>at the end of this response</w:t>
                            </w:r>
                            <w:r w:rsidR="00C04129" w:rsidRPr="00FB4776">
                              <w:rPr>
                                <w:rFonts w:cs="Arial"/>
                              </w:rPr>
                              <w:t xml:space="preserve"> </w:t>
                            </w:r>
                            <w:r w:rsidRPr="00FB4776">
                              <w:rPr>
                                <w:rFonts w:cs="Arial"/>
                              </w:rPr>
                              <w:t>for</w:t>
                            </w:r>
                            <w:r>
                              <w:rPr>
                                <w:rFonts w:cs="Arial"/>
                              </w:rPr>
                              <w:t xml:space="preserve"> more information on this.</w:t>
                            </w:r>
                          </w:p>
                          <w:p w:rsidR="00480910" w:rsidRDefault="00480910" w:rsidP="00480910">
                            <w:pPr>
                              <w:pStyle w:val="ListParagraph"/>
                              <w:rPr>
                                <w:rFonts w:cs="Arial"/>
                              </w:rPr>
                            </w:pPr>
                          </w:p>
                          <w:p w:rsidR="00480910" w:rsidRDefault="00480910" w:rsidP="0098594B">
                            <w:pPr>
                              <w:pStyle w:val="ListParagraph"/>
                              <w:numPr>
                                <w:ilvl w:val="0"/>
                                <w:numId w:val="18"/>
                              </w:numPr>
                              <w:rPr>
                                <w:rFonts w:cs="Arial"/>
                                <w:b/>
                              </w:rPr>
                            </w:pPr>
                            <w:r w:rsidRPr="00BB7841">
                              <w:rPr>
                                <w:rFonts w:cs="Arial"/>
                                <w:b/>
                              </w:rPr>
                              <w:t>Are there other pension options, not currently available in the UK, which would better meet people’s needs in later life?</w:t>
                            </w:r>
                          </w:p>
                          <w:p w:rsidR="00BB7841" w:rsidRPr="00BB7841" w:rsidRDefault="00BB7841" w:rsidP="00BB7841">
                            <w:pPr>
                              <w:pStyle w:val="ListParagraph"/>
                              <w:rPr>
                                <w:rFonts w:cs="Arial"/>
                                <w:b/>
                              </w:rPr>
                            </w:pPr>
                          </w:p>
                          <w:p w:rsidR="008E1B4D" w:rsidRDefault="0058149A" w:rsidP="0025345D">
                            <w:pPr>
                              <w:pStyle w:val="ListParagraph"/>
                              <w:rPr>
                                <w:rFonts w:cs="Arial"/>
                              </w:rPr>
                            </w:pPr>
                            <w:r>
                              <w:rPr>
                                <w:rFonts w:cs="Arial"/>
                              </w:rPr>
                              <w:t xml:space="preserve">Good pension provision represents a puzzle </w:t>
                            </w:r>
                            <w:r w:rsidR="008355AB">
                              <w:rPr>
                                <w:rFonts w:cs="Arial"/>
                              </w:rPr>
                              <w:t>about</w:t>
                            </w:r>
                            <w:r>
                              <w:rPr>
                                <w:rFonts w:cs="Arial"/>
                              </w:rPr>
                              <w:t xml:space="preserve"> how to provide an income which cost-effectively meets an individual’s needs in retirement</w:t>
                            </w:r>
                            <w:r w:rsidR="008355AB">
                              <w:rPr>
                                <w:rFonts w:cs="Arial"/>
                              </w:rPr>
                              <w:t>,</w:t>
                            </w:r>
                            <w:r>
                              <w:rPr>
                                <w:rFonts w:cs="Arial"/>
                              </w:rPr>
                              <w:t xml:space="preserve"> when those needs and the individual’s lifespan are unknown in advance.  There is no pe</w:t>
                            </w:r>
                            <w:r w:rsidR="003A1E8A">
                              <w:rPr>
                                <w:rFonts w:cs="Arial"/>
                              </w:rPr>
                              <w:t>r</w:t>
                            </w:r>
                            <w:r>
                              <w:rPr>
                                <w:rFonts w:cs="Arial"/>
                              </w:rPr>
                              <w:t>fect way to solve this puzzle</w:t>
                            </w:r>
                            <w:r w:rsidR="003A1E8A">
                              <w:rPr>
                                <w:rFonts w:cs="Arial"/>
                              </w:rPr>
                              <w:t>, and so the task is to identify the least imperfect approach.</w:t>
                            </w:r>
                            <w:r>
                              <w:rPr>
                                <w:rFonts w:cs="Arial"/>
                              </w:rPr>
                              <w:t xml:space="preserve"> </w:t>
                            </w:r>
                            <w:r w:rsidR="003A1E8A">
                              <w:rPr>
                                <w:rFonts w:cs="Arial"/>
                              </w:rPr>
                              <w:t xml:space="preserve"> Further, the answer to this is </w:t>
                            </w:r>
                            <w:r>
                              <w:rPr>
                                <w:rFonts w:cs="Arial"/>
                              </w:rPr>
                              <w:t xml:space="preserve">different </w:t>
                            </w:r>
                            <w:r w:rsidR="003A1E8A">
                              <w:rPr>
                                <w:rFonts w:cs="Arial"/>
                              </w:rPr>
                              <w:t xml:space="preserve">for different </w:t>
                            </w:r>
                            <w:r>
                              <w:rPr>
                                <w:rFonts w:cs="Arial"/>
                              </w:rPr>
                              <w:t>groups of individuals in the UK</w:t>
                            </w:r>
                            <w:r w:rsidR="003A1E8A">
                              <w:rPr>
                                <w:rFonts w:cs="Arial"/>
                              </w:rPr>
                              <w:t xml:space="preserve">, depending on matters such as </w:t>
                            </w:r>
                            <w:r w:rsidR="00C04129">
                              <w:rPr>
                                <w:rFonts w:cs="Arial"/>
                              </w:rPr>
                              <w:t xml:space="preserve">their </w:t>
                            </w:r>
                            <w:r w:rsidR="003A1E8A">
                              <w:rPr>
                                <w:rFonts w:cs="Arial"/>
                              </w:rPr>
                              <w:t xml:space="preserve">other sources of income, the type of expenditures that </w:t>
                            </w:r>
                            <w:r w:rsidR="008355AB">
                              <w:rPr>
                                <w:rFonts w:cs="Arial"/>
                              </w:rPr>
                              <w:t xml:space="preserve">will </w:t>
                            </w:r>
                            <w:r w:rsidR="003A1E8A">
                              <w:rPr>
                                <w:rFonts w:cs="Arial"/>
                              </w:rPr>
                              <w:t>make up their income needs, and their appetite for managing their own retirement savings</w:t>
                            </w:r>
                            <w:r>
                              <w:rPr>
                                <w:rFonts w:cs="Arial"/>
                              </w:rPr>
                              <w:t>.  While some groups’ needs might be well met</w:t>
                            </w:r>
                            <w:r w:rsidR="003A1E8A">
                              <w:rPr>
                                <w:rFonts w:cs="Arial"/>
                              </w:rPr>
                              <w:t xml:space="preserve"> by existing pension provision options</w:t>
                            </w:r>
                            <w:r>
                              <w:rPr>
                                <w:rFonts w:cs="Arial"/>
                              </w:rPr>
                              <w:t>, w</w:t>
                            </w:r>
                            <w:r w:rsidR="008E1B4D">
                              <w:rPr>
                                <w:rFonts w:cs="Arial"/>
                              </w:rPr>
                              <w:t xml:space="preserve">e are of the view </w:t>
                            </w:r>
                            <w:r>
                              <w:rPr>
                                <w:rFonts w:cs="Arial"/>
                              </w:rPr>
                              <w:t xml:space="preserve">that better options </w:t>
                            </w:r>
                            <w:r w:rsidR="00C04129">
                              <w:rPr>
                                <w:rFonts w:cs="Arial"/>
                              </w:rPr>
                              <w:t xml:space="preserve">could be made </w:t>
                            </w:r>
                            <w:r>
                              <w:rPr>
                                <w:rFonts w:cs="Arial"/>
                              </w:rPr>
                              <w:t>available for some groups.  We are open minded about the possibilities, and have recently been investigating two options</w:t>
                            </w:r>
                            <w:r w:rsidR="003A1E8A">
                              <w:rPr>
                                <w:rFonts w:cs="Arial"/>
                              </w:rPr>
                              <w:t xml:space="preserve"> in particular: Collective Defined Contribution (CDC)</w:t>
                            </w:r>
                            <w:r>
                              <w:rPr>
                                <w:rFonts w:cs="Arial"/>
                              </w:rPr>
                              <w:t>, and modern tontines.</w:t>
                            </w:r>
                          </w:p>
                          <w:p w:rsidR="00CA4082" w:rsidRDefault="00CA4082" w:rsidP="0025345D">
                            <w:pPr>
                              <w:pStyle w:val="ListParagraph"/>
                              <w:rPr>
                                <w:rFonts w:cs="Arial"/>
                              </w:rPr>
                            </w:pPr>
                          </w:p>
                          <w:p w:rsidR="0025345D" w:rsidRDefault="0025345D" w:rsidP="00C422AB">
                            <w:pPr>
                              <w:pStyle w:val="ListParagraph"/>
                              <w:rPr>
                                <w:rFonts w:cs="Arial"/>
                              </w:rPr>
                            </w:pPr>
                            <w:r>
                              <w:rPr>
                                <w:rFonts w:cs="Arial"/>
                              </w:rPr>
                              <w:t xml:space="preserve">One of the options that </w:t>
                            </w:r>
                            <w:r w:rsidR="00CA4082">
                              <w:rPr>
                                <w:rFonts w:cs="Arial"/>
                              </w:rPr>
                              <w:t>we support</w:t>
                            </w:r>
                            <w:r>
                              <w:rPr>
                                <w:rFonts w:cs="Arial"/>
                              </w:rPr>
                              <w:t xml:space="preserve"> is the </w:t>
                            </w:r>
                            <w:r w:rsidR="00CA4082">
                              <w:rPr>
                                <w:rFonts w:cs="Arial"/>
                              </w:rPr>
                              <w:t xml:space="preserve">provision of pensions through </w:t>
                            </w:r>
                            <w:r>
                              <w:rPr>
                                <w:rFonts w:cs="Arial"/>
                              </w:rPr>
                              <w:t xml:space="preserve">Collective Defined Contribution (CDC) pension schemes. </w:t>
                            </w:r>
                            <w:r w:rsidR="00C422AB">
                              <w:rPr>
                                <w:rFonts w:cs="Arial"/>
                              </w:rPr>
                              <w:t xml:space="preserve">These give individuals an income for life in retirement, at fixed cost for employers – these come with no guarantee of benefit levels but are </w:t>
                            </w:r>
                            <w:r w:rsidR="008355AB">
                              <w:rPr>
                                <w:rFonts w:cs="Arial"/>
                              </w:rPr>
                              <w:t xml:space="preserve">invested to give an expectation of </w:t>
                            </w:r>
                            <w:r w:rsidR="00C422AB">
                              <w:rPr>
                                <w:rFonts w:cs="Arial"/>
                              </w:rPr>
                              <w:t xml:space="preserve">cost effective pensions.  </w:t>
                            </w:r>
                            <w:r w:rsidR="00C04129">
                              <w:rPr>
                                <w:rFonts w:cs="Arial"/>
                              </w:rPr>
                              <w:t>Based on the CDC design developed by Royal Mail with the Communication Workers Union, working with some of our members, t</w:t>
                            </w:r>
                            <w:r w:rsidR="00CA4082">
                              <w:rPr>
                                <w:rFonts w:cs="Arial"/>
                              </w:rPr>
                              <w:t xml:space="preserve">he Government has made good progress in this area </w:t>
                            </w:r>
                            <w:r w:rsidR="00C04129">
                              <w:rPr>
                                <w:rFonts w:cs="Arial"/>
                              </w:rPr>
                              <w:t>through the Pension Schemes Act 2021, and is committed to introduce regulations shortly to facilitate these</w:t>
                            </w:r>
                            <w:r w:rsidR="00CA4082">
                              <w:rPr>
                                <w:rFonts w:cs="Arial"/>
                              </w:rPr>
                              <w:t xml:space="preserve">.  </w:t>
                            </w:r>
                            <w:r w:rsidR="00C04129">
                              <w:rPr>
                                <w:rFonts w:cs="Arial"/>
                              </w:rPr>
                              <w:t>But we see this as only the beginning - t</w:t>
                            </w:r>
                            <w:r w:rsidRPr="0025345D">
                              <w:rPr>
                                <w:rFonts w:cs="Arial"/>
                              </w:rPr>
                              <w:t>he IFoA</w:t>
                            </w:r>
                            <w:r>
                              <w:rPr>
                                <w:rFonts w:cs="Arial"/>
                              </w:rPr>
                              <w:t>,</w:t>
                            </w:r>
                            <w:r w:rsidRPr="0025345D">
                              <w:rPr>
                                <w:rFonts w:cs="Arial"/>
                              </w:rPr>
                              <w:t xml:space="preserve"> is seeking </w:t>
                            </w:r>
                            <w:r w:rsidR="00CA4082">
                              <w:rPr>
                                <w:rFonts w:cs="Arial"/>
                              </w:rPr>
                              <w:t xml:space="preserve">further </w:t>
                            </w:r>
                            <w:r w:rsidR="00C04129">
                              <w:rPr>
                                <w:rFonts w:cs="Arial"/>
                              </w:rPr>
                              <w:t>G</w:t>
                            </w:r>
                            <w:r w:rsidRPr="0025345D">
                              <w:rPr>
                                <w:rFonts w:cs="Arial"/>
                              </w:rPr>
                              <w:t>overnment action to show employers that CDC is an attractive alternative to DC schemes, address concerns employers may have, such as regulatory burdens a</w:t>
                            </w:r>
                            <w:r>
                              <w:rPr>
                                <w:rFonts w:cs="Arial"/>
                              </w:rPr>
                              <w:t>nd costs</w:t>
                            </w:r>
                            <w:r w:rsidR="00C422AB">
                              <w:rPr>
                                <w:rFonts w:cs="Arial"/>
                              </w:rPr>
                              <w:t xml:space="preserve">, and to support the introduction of </w:t>
                            </w:r>
                            <w:r w:rsidR="00C422AB" w:rsidRPr="00C422AB">
                              <w:rPr>
                                <w:rFonts w:cs="Arial"/>
                              </w:rPr>
                              <w:t>multi-employer and master</w:t>
                            </w:r>
                            <w:r w:rsidR="00C422AB">
                              <w:rPr>
                                <w:rFonts w:cs="Arial"/>
                              </w:rPr>
                              <w:t xml:space="preserve"> </w:t>
                            </w:r>
                            <w:r w:rsidR="00C422AB" w:rsidRPr="00C422AB">
                              <w:rPr>
                                <w:rFonts w:cs="Arial"/>
                              </w:rPr>
                              <w:t>trust CDC schemes</w:t>
                            </w:r>
                            <w:r w:rsidR="00C422AB">
                              <w:rPr>
                                <w:rFonts w:cs="Arial"/>
                              </w:rPr>
                              <w:t xml:space="preserve"> in order to provide employees of smaller organisations with access to CDC</w:t>
                            </w:r>
                            <w:r>
                              <w:rPr>
                                <w:rFonts w:cs="Arial"/>
                              </w:rPr>
                              <w:t xml:space="preserve">. </w:t>
                            </w:r>
                          </w:p>
                          <w:p w:rsidR="00C422AB" w:rsidRPr="0025345D" w:rsidRDefault="00C422AB" w:rsidP="00C422AB">
                            <w:pPr>
                              <w:pStyle w:val="ListParagraph"/>
                              <w:rPr>
                                <w:rFonts w:cs="Arial"/>
                              </w:rPr>
                            </w:pPr>
                          </w:p>
                          <w:p w:rsidR="003A08EE" w:rsidRPr="00C96677" w:rsidRDefault="0025345D" w:rsidP="00BB7841">
                            <w:pPr>
                              <w:rPr>
                                <w:rFonts w:cs="Arial"/>
                              </w:rPr>
                            </w:pPr>
                            <w:r>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7CCF" id="_x0000_t202" coordsize="21600,21600" o:spt="202" path="m,l,21600r21600,l21600,xe">
                <v:stroke joinstyle="miter"/>
                <v:path gradientshapeok="t" o:connecttype="rect"/>
              </v:shapetype>
              <v:shape id="Text Box 9" o:spid="_x0000_s1026" type="#_x0000_t202" style="position:absolute;margin-left:-7.65pt;margin-top:36.45pt;width:487.55pt;height:63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YJmQIAALUFAAAOAAAAZHJzL2Uyb0RvYy54bWysVFFPGzEMfp+0/xDlfVyvotBWXFEBMU1C&#10;gAYTz2kuaaMlcZakvet+/ZzctbSMF6a93NnxZ8f+YvvisjWabIQPCmxFy5MBJcJyqJVdVvTH8+2X&#10;MSUhMlszDVZUdCsCvZx9/nTRuKkYwgp0LTzBIDZMG1fRVYxuWhSBr4Rh4QScsGiU4A2LqPplUXvW&#10;YHSji+FgcFY04GvngYsQ8PSmM9JZji+l4PFByiAi0RXF3GL++vxdpG8xu2DTpWdupXifBvuHLAxT&#10;Fi/dh7phkZG1V3+FMop7CCDjCQdTgJSKi1wDVlMO3lTztGJO5FqQnOD2NIX/F5bfbx49UXVFJ5RY&#10;ZvCJnkUbyRW0ZJLYaVyYIujJISy2eIyvvDsPeJiKbqU36Y/lELQjz9s9tykYx8OzclKOxyNKONrG&#10;Ayx2kNkvXt2dD/GrAEOSUFGPj5c5ZZu7EDEVhO4g6bYAWtW3SuuspIYR19qTDcOn1jEniR5HKG1J&#10;U9HheHQ+ypGPjMEvF/sAN5P5VXmWCj2OgZq26UKRm6tPLJHUkZGluNUiYbT9LiSSmzl5J0vGubD7&#10;TDM6oSTW9BHHHv+a1UecuzrQI98MNu6djbLgO5qOya1/7siVHR5JOqg7ibFdtH3zLKDeYu946GYv&#10;OH6r8H3vWIiPzOOwYbvgAokP+JEa8H2glyhZgf/93nnC4wyglZIGh7ei4deaeUGJ/mZxOibl6Wma&#10;9qycjs6HqPhDy+LQYtfmGrBpSlxVjmcx4aPeidKDecE9M0+3oolZjndXNO7E69itFNxTXMznGYTz&#10;7Vi8s0+Op9CJ3tS9z+0L865v8YjTcQ+7MWfTN53eYZOnhfk6glR5DBLBHas98bgbcp/2eywtn0M9&#10;o1637ewPAAAA//8DAFBLAwQUAAYACAAAACEAaUXRueAAAAALAQAADwAAAGRycy9kb3ducmV2Lnht&#10;bEyPwUrEMBCG74LvEEbwIrtJt+xqa9NFBA8qKFa9p83YFJukNOlu9OkdT3qcmY9/vr/aJzuyA85h&#10;8E5CthbA0HVeD66X8PZ6t7oCFqJyWo3eoYQvDLCvT08qVWp/dC94aGLPKMSFUkkwMU4l56EzaFVY&#10;+wkd3T78bFWkce65ntWRwu3IN0LsuFWDow9GTXhrsPtsFiuhvRiMeG51WsTTd3po7rNl9/gu5flZ&#10;urkGFjHFPxh+9UkdanJq/eJ0YKOEVbbNCZVwuSmAEVBsC+rSEpnntOJ1xf93qH8AAAD//wMAUEsB&#10;Ai0AFAAGAAgAAAAhALaDOJL+AAAA4QEAABMAAAAAAAAAAAAAAAAAAAAAAFtDb250ZW50X1R5cGVz&#10;XS54bWxQSwECLQAUAAYACAAAACEAOP0h/9YAAACUAQAACwAAAAAAAAAAAAAAAAAvAQAAX3JlbHMv&#10;LnJlbHNQSwECLQAUAAYACAAAACEAHRI2CZkCAAC1BQAADgAAAAAAAAAAAAAAAAAuAgAAZHJzL2Uy&#10;b0RvYy54bWxQSwECLQAUAAYACAAAACEAaUXRueAAAAALAQAADwAAAAAAAAAAAAAAAADzBAAAZHJz&#10;L2Rvd25yZXYueG1sUEsFBgAAAAAEAAQA8wAAAAAGAAAAAA==&#10;" fillcolor="white [3201]" strokecolor="#d9ab16" strokeweight="2.25pt">
                <v:textbox>
                  <w:txbxContent>
                    <w:p w:rsidR="00480910" w:rsidRPr="00BB7841" w:rsidRDefault="00480910" w:rsidP="0098594B">
                      <w:pPr>
                        <w:pStyle w:val="ListParagraph"/>
                        <w:numPr>
                          <w:ilvl w:val="0"/>
                          <w:numId w:val="18"/>
                        </w:numPr>
                        <w:rPr>
                          <w:rFonts w:cs="Arial"/>
                          <w:b/>
                        </w:rPr>
                      </w:pPr>
                      <w:r w:rsidRPr="00BB7841">
                        <w:rPr>
                          <w:rFonts w:cs="Arial"/>
                          <w:b/>
                        </w:rPr>
                        <w:t>Do people have access to a range of pension options to meet their needs for later life and how might these needs change in future?</w:t>
                      </w:r>
                    </w:p>
                    <w:p w:rsidR="00BB7841" w:rsidRDefault="00BB7841" w:rsidP="00BB7841">
                      <w:pPr>
                        <w:pStyle w:val="ListParagraph"/>
                        <w:rPr>
                          <w:rFonts w:cs="Arial"/>
                        </w:rPr>
                      </w:pPr>
                    </w:p>
                    <w:p w:rsidR="00480910" w:rsidRDefault="008355AB" w:rsidP="00BB7841">
                      <w:pPr>
                        <w:pStyle w:val="ListParagraph"/>
                        <w:rPr>
                          <w:rFonts w:cs="Arial"/>
                        </w:rPr>
                      </w:pPr>
                      <w:r>
                        <w:rPr>
                          <w:rFonts w:cs="Arial"/>
                        </w:rPr>
                        <w:t>A</w:t>
                      </w:r>
                      <w:r w:rsidR="0025345D">
                        <w:rPr>
                          <w:rFonts w:cs="Arial"/>
                        </w:rPr>
                        <w:t>lthough</w:t>
                      </w:r>
                      <w:r w:rsidR="00BB7841">
                        <w:rPr>
                          <w:rFonts w:cs="Arial"/>
                        </w:rPr>
                        <w:t xml:space="preserve"> </w:t>
                      </w:r>
                      <w:r w:rsidR="00255582">
                        <w:rPr>
                          <w:rFonts w:cs="Arial"/>
                        </w:rPr>
                        <w:t xml:space="preserve">in law </w:t>
                      </w:r>
                      <w:r w:rsidR="00BB7841">
                        <w:rPr>
                          <w:rFonts w:cs="Arial"/>
                        </w:rPr>
                        <w:t xml:space="preserve">there are </w:t>
                      </w:r>
                      <w:r w:rsidR="00255582">
                        <w:rPr>
                          <w:rFonts w:cs="Arial"/>
                        </w:rPr>
                        <w:t xml:space="preserve">currently </w:t>
                      </w:r>
                      <w:r w:rsidR="00BB7841">
                        <w:rPr>
                          <w:rFonts w:cs="Arial"/>
                        </w:rPr>
                        <w:t xml:space="preserve">numerous pension options available for </w:t>
                      </w:r>
                      <w:r w:rsidR="00255582">
                        <w:rPr>
                          <w:rFonts w:cs="Arial"/>
                        </w:rPr>
                        <w:t xml:space="preserve">individuals </w:t>
                      </w:r>
                      <w:r w:rsidR="00BB7841">
                        <w:rPr>
                          <w:rFonts w:cs="Arial"/>
                        </w:rPr>
                        <w:t xml:space="preserve">in the UK, </w:t>
                      </w:r>
                      <w:r w:rsidR="00D600CD">
                        <w:rPr>
                          <w:rFonts w:cs="Arial"/>
                        </w:rPr>
                        <w:t xml:space="preserve">many individuals’ employers no longer provide access to defined benefit pensions.  This leaves </w:t>
                      </w:r>
                      <w:r w:rsidR="00C04129">
                        <w:rPr>
                          <w:rFonts w:cs="Arial"/>
                        </w:rPr>
                        <w:t xml:space="preserve">just one option, </w:t>
                      </w:r>
                      <w:r>
                        <w:rPr>
                          <w:rFonts w:cs="Arial"/>
                        </w:rPr>
                        <w:t>D</w:t>
                      </w:r>
                      <w:r w:rsidR="00D600CD">
                        <w:rPr>
                          <w:rFonts w:cs="Arial"/>
                        </w:rPr>
                        <w:t xml:space="preserve">efined </w:t>
                      </w:r>
                      <w:r>
                        <w:rPr>
                          <w:rFonts w:cs="Arial"/>
                        </w:rPr>
                        <w:t>C</w:t>
                      </w:r>
                      <w:r w:rsidR="00D600CD">
                        <w:rPr>
                          <w:rFonts w:cs="Arial"/>
                        </w:rPr>
                        <w:t xml:space="preserve">ontribution </w:t>
                      </w:r>
                      <w:r>
                        <w:rPr>
                          <w:rFonts w:cs="Arial"/>
                        </w:rPr>
                        <w:t xml:space="preserve">(DC) </w:t>
                      </w:r>
                      <w:r w:rsidR="00D600CD">
                        <w:rPr>
                          <w:rFonts w:cs="Arial"/>
                        </w:rPr>
                        <w:t>pensions</w:t>
                      </w:r>
                      <w:r w:rsidR="00C04129">
                        <w:rPr>
                          <w:rFonts w:cs="Arial"/>
                        </w:rPr>
                        <w:t>.  A</w:t>
                      </w:r>
                      <w:r w:rsidR="00D600CD">
                        <w:rPr>
                          <w:rFonts w:cs="Arial"/>
                        </w:rPr>
                        <w:t xml:space="preserve">lthough </w:t>
                      </w:r>
                      <w:r w:rsidR="00C04129">
                        <w:rPr>
                          <w:rFonts w:cs="Arial"/>
                        </w:rPr>
                        <w:t xml:space="preserve">DC </w:t>
                      </w:r>
                      <w:r w:rsidR="00D600CD">
                        <w:rPr>
                          <w:rFonts w:cs="Arial"/>
                        </w:rPr>
                        <w:t xml:space="preserve">might be well suited to many individuals, </w:t>
                      </w:r>
                      <w:r w:rsidR="00C04129">
                        <w:rPr>
                          <w:rFonts w:cs="Arial"/>
                        </w:rPr>
                        <w:t xml:space="preserve">in its current form it </w:t>
                      </w:r>
                      <w:r w:rsidR="00D600CD">
                        <w:rPr>
                          <w:rFonts w:cs="Arial"/>
                        </w:rPr>
                        <w:t xml:space="preserve">would not meet </w:t>
                      </w:r>
                      <w:r>
                        <w:rPr>
                          <w:rFonts w:cs="Arial"/>
                        </w:rPr>
                        <w:t xml:space="preserve">well </w:t>
                      </w:r>
                      <w:r w:rsidR="00D600CD">
                        <w:rPr>
                          <w:rFonts w:cs="Arial"/>
                        </w:rPr>
                        <w:t xml:space="preserve">the needs of others, especially those who want a regular retirement income for whole of life, no matter how long they live, but do not want to meet the expense of an insured annuity.  Therefore we are of the view that there is not currently </w:t>
                      </w:r>
                      <w:r>
                        <w:rPr>
                          <w:rFonts w:cs="Arial"/>
                        </w:rPr>
                        <w:t xml:space="preserve">a </w:t>
                      </w:r>
                      <w:r w:rsidR="00D600CD">
                        <w:rPr>
                          <w:rFonts w:cs="Arial"/>
                        </w:rPr>
                        <w:t xml:space="preserve">sufficient range </w:t>
                      </w:r>
                      <w:r w:rsidR="00CA4082">
                        <w:rPr>
                          <w:rFonts w:cs="Arial"/>
                        </w:rPr>
                        <w:t>of pension options</w:t>
                      </w:r>
                      <w:r w:rsidR="00C04129">
                        <w:rPr>
                          <w:rFonts w:cs="Arial"/>
                        </w:rPr>
                        <w:t xml:space="preserve"> in the UK</w:t>
                      </w:r>
                      <w:r>
                        <w:rPr>
                          <w:rFonts w:cs="Arial"/>
                        </w:rPr>
                        <w:t xml:space="preserve">.  </w:t>
                      </w:r>
                      <w:r w:rsidR="00C04129">
                        <w:rPr>
                          <w:rFonts w:cs="Arial"/>
                        </w:rPr>
                        <w:t>And so w</w:t>
                      </w:r>
                      <w:r>
                        <w:rPr>
                          <w:rFonts w:cs="Arial"/>
                        </w:rPr>
                        <w:t xml:space="preserve">e </w:t>
                      </w:r>
                      <w:r w:rsidR="00CA4082">
                        <w:rPr>
                          <w:rFonts w:cs="Arial"/>
                        </w:rPr>
                        <w:t>are encouraged by the Government’s recent activities in this area and the W&amp;PC’s inquiry.</w:t>
                      </w:r>
                      <w:r w:rsidR="00255582">
                        <w:rPr>
                          <w:rFonts w:cs="Arial"/>
                        </w:rPr>
                        <w:t xml:space="preserve"> </w:t>
                      </w:r>
                    </w:p>
                    <w:p w:rsidR="00401959" w:rsidRDefault="00401959" w:rsidP="00BB7841">
                      <w:pPr>
                        <w:pStyle w:val="ListParagraph"/>
                        <w:rPr>
                          <w:rFonts w:cs="Arial"/>
                        </w:rPr>
                      </w:pPr>
                    </w:p>
                    <w:p w:rsidR="00401959" w:rsidRDefault="00401959" w:rsidP="00BB7841">
                      <w:pPr>
                        <w:pStyle w:val="ListParagraph"/>
                        <w:rPr>
                          <w:rFonts w:cs="Arial"/>
                        </w:rPr>
                      </w:pPr>
                      <w:r>
                        <w:rPr>
                          <w:rFonts w:cs="Arial"/>
                        </w:rPr>
                        <w:t xml:space="preserve">Connected with this, IFoA has identified that over recent decades there has been </w:t>
                      </w:r>
                      <w:r w:rsidDel="00401959">
                        <w:rPr>
                          <w:rFonts w:cs="Arial"/>
                        </w:rPr>
                        <w:t>a trend of the</w:t>
                      </w:r>
                      <w:r w:rsidRPr="00BB7841" w:rsidDel="00401959">
                        <w:rPr>
                          <w:rFonts w:cs="Arial"/>
                        </w:rPr>
                        <w:t xml:space="preserve"> transfer </w:t>
                      </w:r>
                      <w:r w:rsidDel="00401959">
                        <w:rPr>
                          <w:rFonts w:cs="Arial"/>
                        </w:rPr>
                        <w:t xml:space="preserve">of </w:t>
                      </w:r>
                      <w:r w:rsidRPr="00BB7841" w:rsidDel="00401959">
                        <w:rPr>
                          <w:rFonts w:cs="Arial"/>
                        </w:rPr>
                        <w:t>risks from institutions – such as employers, the state and financial services providers – to individuals.</w:t>
                      </w:r>
                      <w:r w:rsidRPr="00401959" w:rsidDel="00401959">
                        <w:rPr>
                          <w:rFonts w:cs="Arial"/>
                        </w:rPr>
                        <w:t xml:space="preserve"> </w:t>
                      </w:r>
                      <w:r w:rsidRPr="00BB7841" w:rsidDel="00401959">
                        <w:rPr>
                          <w:rFonts w:cs="Arial"/>
                        </w:rPr>
                        <w:t xml:space="preserve">Since the start of 2020 the IFoA has been campaigning on what we have termed ‘the </w:t>
                      </w:r>
                      <w:r w:rsidRPr="00FB4776" w:rsidDel="00401959">
                        <w:rPr>
                          <w:rFonts w:cs="Arial"/>
                        </w:rPr>
                        <w:t>Great Risk Transfer’ (GRT)</w:t>
                      </w:r>
                      <w:r w:rsidRPr="00FB4776">
                        <w:rPr>
                          <w:rFonts w:cs="Arial"/>
                        </w:rPr>
                        <w:t xml:space="preserve">, and the consequences it may have for pension savers.  Please see the box </w:t>
                      </w:r>
                      <w:r w:rsidR="00C04129">
                        <w:rPr>
                          <w:rFonts w:cs="Arial"/>
                        </w:rPr>
                        <w:t>at the end of this response</w:t>
                      </w:r>
                      <w:r w:rsidR="00C04129" w:rsidRPr="00FB4776">
                        <w:rPr>
                          <w:rFonts w:cs="Arial"/>
                        </w:rPr>
                        <w:t xml:space="preserve"> </w:t>
                      </w:r>
                      <w:r w:rsidRPr="00FB4776">
                        <w:rPr>
                          <w:rFonts w:cs="Arial"/>
                        </w:rPr>
                        <w:t>for</w:t>
                      </w:r>
                      <w:r>
                        <w:rPr>
                          <w:rFonts w:cs="Arial"/>
                        </w:rPr>
                        <w:t xml:space="preserve"> more information on this.</w:t>
                      </w:r>
                    </w:p>
                    <w:p w:rsidR="00480910" w:rsidRDefault="00480910" w:rsidP="00480910">
                      <w:pPr>
                        <w:pStyle w:val="ListParagraph"/>
                        <w:rPr>
                          <w:rFonts w:cs="Arial"/>
                        </w:rPr>
                      </w:pPr>
                    </w:p>
                    <w:p w:rsidR="00480910" w:rsidRDefault="00480910" w:rsidP="0098594B">
                      <w:pPr>
                        <w:pStyle w:val="ListParagraph"/>
                        <w:numPr>
                          <w:ilvl w:val="0"/>
                          <w:numId w:val="18"/>
                        </w:numPr>
                        <w:rPr>
                          <w:rFonts w:cs="Arial"/>
                          <w:b/>
                        </w:rPr>
                      </w:pPr>
                      <w:r w:rsidRPr="00BB7841">
                        <w:rPr>
                          <w:rFonts w:cs="Arial"/>
                          <w:b/>
                        </w:rPr>
                        <w:t>Are there other pension options, not currently available in the UK, which would better meet people’s needs in later life?</w:t>
                      </w:r>
                    </w:p>
                    <w:p w:rsidR="00BB7841" w:rsidRPr="00BB7841" w:rsidRDefault="00BB7841" w:rsidP="00BB7841">
                      <w:pPr>
                        <w:pStyle w:val="ListParagraph"/>
                        <w:rPr>
                          <w:rFonts w:cs="Arial"/>
                          <w:b/>
                        </w:rPr>
                      </w:pPr>
                    </w:p>
                    <w:p w:rsidR="008E1B4D" w:rsidRDefault="0058149A" w:rsidP="0025345D">
                      <w:pPr>
                        <w:pStyle w:val="ListParagraph"/>
                        <w:rPr>
                          <w:rFonts w:cs="Arial"/>
                        </w:rPr>
                      </w:pPr>
                      <w:r>
                        <w:rPr>
                          <w:rFonts w:cs="Arial"/>
                        </w:rPr>
                        <w:t xml:space="preserve">Good pension provision represents a puzzle </w:t>
                      </w:r>
                      <w:r w:rsidR="008355AB">
                        <w:rPr>
                          <w:rFonts w:cs="Arial"/>
                        </w:rPr>
                        <w:t>about</w:t>
                      </w:r>
                      <w:r>
                        <w:rPr>
                          <w:rFonts w:cs="Arial"/>
                        </w:rPr>
                        <w:t xml:space="preserve"> how to provide an income which cost-effectively meets an individual’s needs in retirement</w:t>
                      </w:r>
                      <w:r w:rsidR="008355AB">
                        <w:rPr>
                          <w:rFonts w:cs="Arial"/>
                        </w:rPr>
                        <w:t>,</w:t>
                      </w:r>
                      <w:r>
                        <w:rPr>
                          <w:rFonts w:cs="Arial"/>
                        </w:rPr>
                        <w:t xml:space="preserve"> when those needs and the individual’s lifespan are unknown in advance.  There is no pe</w:t>
                      </w:r>
                      <w:r w:rsidR="003A1E8A">
                        <w:rPr>
                          <w:rFonts w:cs="Arial"/>
                        </w:rPr>
                        <w:t>r</w:t>
                      </w:r>
                      <w:r>
                        <w:rPr>
                          <w:rFonts w:cs="Arial"/>
                        </w:rPr>
                        <w:t>fect way to solve this puzzle</w:t>
                      </w:r>
                      <w:r w:rsidR="003A1E8A">
                        <w:rPr>
                          <w:rFonts w:cs="Arial"/>
                        </w:rPr>
                        <w:t>, and so the task is to identify the least imperfect approach.</w:t>
                      </w:r>
                      <w:r>
                        <w:rPr>
                          <w:rFonts w:cs="Arial"/>
                        </w:rPr>
                        <w:t xml:space="preserve"> </w:t>
                      </w:r>
                      <w:r w:rsidR="003A1E8A">
                        <w:rPr>
                          <w:rFonts w:cs="Arial"/>
                        </w:rPr>
                        <w:t xml:space="preserve"> Further, the answer to this is </w:t>
                      </w:r>
                      <w:r>
                        <w:rPr>
                          <w:rFonts w:cs="Arial"/>
                        </w:rPr>
                        <w:t xml:space="preserve">different </w:t>
                      </w:r>
                      <w:r w:rsidR="003A1E8A">
                        <w:rPr>
                          <w:rFonts w:cs="Arial"/>
                        </w:rPr>
                        <w:t xml:space="preserve">for different </w:t>
                      </w:r>
                      <w:r>
                        <w:rPr>
                          <w:rFonts w:cs="Arial"/>
                        </w:rPr>
                        <w:t>groups of individuals in the UK</w:t>
                      </w:r>
                      <w:r w:rsidR="003A1E8A">
                        <w:rPr>
                          <w:rFonts w:cs="Arial"/>
                        </w:rPr>
                        <w:t xml:space="preserve">, depending on matters such as </w:t>
                      </w:r>
                      <w:r w:rsidR="00C04129">
                        <w:rPr>
                          <w:rFonts w:cs="Arial"/>
                        </w:rPr>
                        <w:t xml:space="preserve">their </w:t>
                      </w:r>
                      <w:r w:rsidR="003A1E8A">
                        <w:rPr>
                          <w:rFonts w:cs="Arial"/>
                        </w:rPr>
                        <w:t xml:space="preserve">other sources of income, the type of expenditures that </w:t>
                      </w:r>
                      <w:r w:rsidR="008355AB">
                        <w:rPr>
                          <w:rFonts w:cs="Arial"/>
                        </w:rPr>
                        <w:t xml:space="preserve">will </w:t>
                      </w:r>
                      <w:r w:rsidR="003A1E8A">
                        <w:rPr>
                          <w:rFonts w:cs="Arial"/>
                        </w:rPr>
                        <w:t>make up their income needs, and their appetite for managing their own retirement savings</w:t>
                      </w:r>
                      <w:r>
                        <w:rPr>
                          <w:rFonts w:cs="Arial"/>
                        </w:rPr>
                        <w:t>.  While some groups’ needs might be well met</w:t>
                      </w:r>
                      <w:r w:rsidR="003A1E8A">
                        <w:rPr>
                          <w:rFonts w:cs="Arial"/>
                        </w:rPr>
                        <w:t xml:space="preserve"> by existing pension provision options</w:t>
                      </w:r>
                      <w:r>
                        <w:rPr>
                          <w:rFonts w:cs="Arial"/>
                        </w:rPr>
                        <w:t>, w</w:t>
                      </w:r>
                      <w:r w:rsidR="008E1B4D">
                        <w:rPr>
                          <w:rFonts w:cs="Arial"/>
                        </w:rPr>
                        <w:t xml:space="preserve">e are of the view </w:t>
                      </w:r>
                      <w:r>
                        <w:rPr>
                          <w:rFonts w:cs="Arial"/>
                        </w:rPr>
                        <w:t xml:space="preserve">that better options </w:t>
                      </w:r>
                      <w:r w:rsidR="00C04129">
                        <w:rPr>
                          <w:rFonts w:cs="Arial"/>
                        </w:rPr>
                        <w:t xml:space="preserve">could be made </w:t>
                      </w:r>
                      <w:r>
                        <w:rPr>
                          <w:rFonts w:cs="Arial"/>
                        </w:rPr>
                        <w:t>available for some groups.  We are open minded about the possibilities, and have recently been investigating two options</w:t>
                      </w:r>
                      <w:r w:rsidR="003A1E8A">
                        <w:rPr>
                          <w:rFonts w:cs="Arial"/>
                        </w:rPr>
                        <w:t xml:space="preserve"> in particular: Collective Defined Contribution (CDC)</w:t>
                      </w:r>
                      <w:r>
                        <w:rPr>
                          <w:rFonts w:cs="Arial"/>
                        </w:rPr>
                        <w:t>, and modern tontines.</w:t>
                      </w:r>
                    </w:p>
                    <w:p w:rsidR="00CA4082" w:rsidRDefault="00CA4082" w:rsidP="0025345D">
                      <w:pPr>
                        <w:pStyle w:val="ListParagraph"/>
                        <w:rPr>
                          <w:rFonts w:cs="Arial"/>
                        </w:rPr>
                      </w:pPr>
                    </w:p>
                    <w:p w:rsidR="0025345D" w:rsidRDefault="0025345D" w:rsidP="00C422AB">
                      <w:pPr>
                        <w:pStyle w:val="ListParagraph"/>
                        <w:rPr>
                          <w:rFonts w:cs="Arial"/>
                        </w:rPr>
                      </w:pPr>
                      <w:r>
                        <w:rPr>
                          <w:rFonts w:cs="Arial"/>
                        </w:rPr>
                        <w:t xml:space="preserve">One of the options that </w:t>
                      </w:r>
                      <w:r w:rsidR="00CA4082">
                        <w:rPr>
                          <w:rFonts w:cs="Arial"/>
                        </w:rPr>
                        <w:t>we support</w:t>
                      </w:r>
                      <w:r>
                        <w:rPr>
                          <w:rFonts w:cs="Arial"/>
                        </w:rPr>
                        <w:t xml:space="preserve"> is the </w:t>
                      </w:r>
                      <w:r w:rsidR="00CA4082">
                        <w:rPr>
                          <w:rFonts w:cs="Arial"/>
                        </w:rPr>
                        <w:t xml:space="preserve">provision of pensions through </w:t>
                      </w:r>
                      <w:r>
                        <w:rPr>
                          <w:rFonts w:cs="Arial"/>
                        </w:rPr>
                        <w:t xml:space="preserve">Collective Defined Contribution (CDC) pension schemes. </w:t>
                      </w:r>
                      <w:r w:rsidR="00C422AB">
                        <w:rPr>
                          <w:rFonts w:cs="Arial"/>
                        </w:rPr>
                        <w:t xml:space="preserve">These give individuals an income for life in retirement, at fixed cost for employers – these come with no guarantee of benefit levels but are </w:t>
                      </w:r>
                      <w:r w:rsidR="008355AB">
                        <w:rPr>
                          <w:rFonts w:cs="Arial"/>
                        </w:rPr>
                        <w:t xml:space="preserve">invested to give an expectation of </w:t>
                      </w:r>
                      <w:r w:rsidR="00C422AB">
                        <w:rPr>
                          <w:rFonts w:cs="Arial"/>
                        </w:rPr>
                        <w:t xml:space="preserve">cost effective pensions.  </w:t>
                      </w:r>
                      <w:r w:rsidR="00C04129">
                        <w:rPr>
                          <w:rFonts w:cs="Arial"/>
                        </w:rPr>
                        <w:t>Based on the CDC design developed by Royal Mail with the Communication Workers Union, working with some of our members, t</w:t>
                      </w:r>
                      <w:r w:rsidR="00CA4082">
                        <w:rPr>
                          <w:rFonts w:cs="Arial"/>
                        </w:rPr>
                        <w:t xml:space="preserve">he Government has made good progress in this area </w:t>
                      </w:r>
                      <w:r w:rsidR="00C04129">
                        <w:rPr>
                          <w:rFonts w:cs="Arial"/>
                        </w:rPr>
                        <w:t>through the Pension Schemes Act 2021, and is committed to introduce regulations shortly to facilitate these</w:t>
                      </w:r>
                      <w:r w:rsidR="00CA4082">
                        <w:rPr>
                          <w:rFonts w:cs="Arial"/>
                        </w:rPr>
                        <w:t xml:space="preserve">.  </w:t>
                      </w:r>
                      <w:r w:rsidR="00C04129">
                        <w:rPr>
                          <w:rFonts w:cs="Arial"/>
                        </w:rPr>
                        <w:t>But we see this as only the beginning - t</w:t>
                      </w:r>
                      <w:r w:rsidRPr="0025345D">
                        <w:rPr>
                          <w:rFonts w:cs="Arial"/>
                        </w:rPr>
                        <w:t>he IFoA</w:t>
                      </w:r>
                      <w:r>
                        <w:rPr>
                          <w:rFonts w:cs="Arial"/>
                        </w:rPr>
                        <w:t>,</w:t>
                      </w:r>
                      <w:r w:rsidRPr="0025345D">
                        <w:rPr>
                          <w:rFonts w:cs="Arial"/>
                        </w:rPr>
                        <w:t xml:space="preserve"> is seeking </w:t>
                      </w:r>
                      <w:r w:rsidR="00CA4082">
                        <w:rPr>
                          <w:rFonts w:cs="Arial"/>
                        </w:rPr>
                        <w:t xml:space="preserve">further </w:t>
                      </w:r>
                      <w:r w:rsidR="00C04129">
                        <w:rPr>
                          <w:rFonts w:cs="Arial"/>
                        </w:rPr>
                        <w:t>G</w:t>
                      </w:r>
                      <w:r w:rsidRPr="0025345D">
                        <w:rPr>
                          <w:rFonts w:cs="Arial"/>
                        </w:rPr>
                        <w:t>overnment action to show employers that CDC is an attractive alternative to DC schemes, address concerns employers may have, such as regulatory burdens a</w:t>
                      </w:r>
                      <w:r>
                        <w:rPr>
                          <w:rFonts w:cs="Arial"/>
                        </w:rPr>
                        <w:t>nd costs</w:t>
                      </w:r>
                      <w:r w:rsidR="00C422AB">
                        <w:rPr>
                          <w:rFonts w:cs="Arial"/>
                        </w:rPr>
                        <w:t xml:space="preserve">, and to support the introduction of </w:t>
                      </w:r>
                      <w:r w:rsidR="00C422AB" w:rsidRPr="00C422AB">
                        <w:rPr>
                          <w:rFonts w:cs="Arial"/>
                        </w:rPr>
                        <w:t>multi-employer and master</w:t>
                      </w:r>
                      <w:r w:rsidR="00C422AB">
                        <w:rPr>
                          <w:rFonts w:cs="Arial"/>
                        </w:rPr>
                        <w:t xml:space="preserve"> </w:t>
                      </w:r>
                      <w:r w:rsidR="00C422AB" w:rsidRPr="00C422AB">
                        <w:rPr>
                          <w:rFonts w:cs="Arial"/>
                        </w:rPr>
                        <w:t>trust CDC schemes</w:t>
                      </w:r>
                      <w:r w:rsidR="00C422AB">
                        <w:rPr>
                          <w:rFonts w:cs="Arial"/>
                        </w:rPr>
                        <w:t xml:space="preserve"> in order to provide employees of smaller organisations with access to CDC</w:t>
                      </w:r>
                      <w:r>
                        <w:rPr>
                          <w:rFonts w:cs="Arial"/>
                        </w:rPr>
                        <w:t xml:space="preserve">. </w:t>
                      </w:r>
                    </w:p>
                    <w:p w:rsidR="00C422AB" w:rsidRPr="0025345D" w:rsidRDefault="00C422AB" w:rsidP="00C422AB">
                      <w:pPr>
                        <w:pStyle w:val="ListParagraph"/>
                        <w:rPr>
                          <w:rFonts w:cs="Arial"/>
                        </w:rPr>
                      </w:pPr>
                    </w:p>
                    <w:p w:rsidR="003A08EE" w:rsidRPr="00C96677" w:rsidRDefault="0025345D" w:rsidP="00BB7841">
                      <w:pPr>
                        <w:rPr>
                          <w:rFonts w:cs="Arial"/>
                        </w:rPr>
                      </w:pPr>
                      <w:r>
                        <w:rPr>
                          <w:rFonts w:cs="Arial"/>
                        </w:rPr>
                        <w:t xml:space="preserve">           </w:t>
                      </w:r>
                    </w:p>
                  </w:txbxContent>
                </v:textbox>
                <w10:wrap type="tight" anchorx="margin" anchory="page"/>
              </v:shape>
            </w:pict>
          </mc:Fallback>
        </mc:AlternateContent>
      </w:r>
      <w:r w:rsidR="00C422AB">
        <w:rPr>
          <w:rFonts w:cs="Arial"/>
        </w:rPr>
        <w:br w:type="page"/>
      </w:r>
    </w:p>
    <w:p w:rsidR="00FB4776" w:rsidRDefault="00FB4776" w:rsidP="008E1B4D">
      <w:pPr>
        <w:rPr>
          <w:rFonts w:cs="Arial"/>
        </w:rPr>
      </w:pPr>
      <w:r>
        <w:rPr>
          <w:rFonts w:cs="Arial"/>
          <w:noProof/>
          <w:szCs w:val="20"/>
          <w:lang w:eastAsia="en-GB"/>
        </w:rPr>
        <w:lastRenderedPageBreak/>
        <mc:AlternateContent>
          <mc:Choice Requires="wps">
            <w:drawing>
              <wp:anchor distT="0" distB="0" distL="114300" distR="114300" simplePos="0" relativeHeight="251663360" behindDoc="1" locked="0" layoutInCell="1" allowOverlap="1" wp14:anchorId="42A16C11" wp14:editId="45BBAF94">
                <wp:simplePos x="0" y="0"/>
                <wp:positionH relativeFrom="margin">
                  <wp:posOffset>-97155</wp:posOffset>
                </wp:positionH>
                <wp:positionV relativeFrom="page">
                  <wp:posOffset>462280</wp:posOffset>
                </wp:positionV>
                <wp:extent cx="6191885" cy="8001000"/>
                <wp:effectExtent l="19050" t="19050" r="18415" b="19050"/>
                <wp:wrapTight wrapText="bothSides">
                  <wp:wrapPolygon edited="0">
                    <wp:start x="-66" y="-51"/>
                    <wp:lineTo x="-66" y="21600"/>
                    <wp:lineTo x="21598" y="21600"/>
                    <wp:lineTo x="21598" y="-51"/>
                    <wp:lineTo x="-66" y="-51"/>
                  </wp:wrapPolygon>
                </wp:wrapTight>
                <wp:docPr id="5" name="Text Box 5"/>
                <wp:cNvGraphicFramePr/>
                <a:graphic xmlns:a="http://schemas.openxmlformats.org/drawingml/2006/main">
                  <a:graphicData uri="http://schemas.microsoft.com/office/word/2010/wordprocessingShape">
                    <wps:wsp>
                      <wps:cNvSpPr txBox="1"/>
                      <wps:spPr>
                        <a:xfrm>
                          <a:off x="0" y="0"/>
                          <a:ext cx="6191885" cy="8001000"/>
                        </a:xfrm>
                        <a:prstGeom prst="rect">
                          <a:avLst/>
                        </a:prstGeom>
                        <a:solidFill>
                          <a:sysClr val="window" lastClr="FFFFFF"/>
                        </a:solidFill>
                        <a:ln w="28575">
                          <a:solidFill>
                            <a:srgbClr val="D9AB16"/>
                          </a:solidFill>
                        </a:ln>
                        <a:effectLst/>
                      </wps:spPr>
                      <wps:txbx>
                        <w:txbxContent>
                          <w:p w:rsidR="00FB4776" w:rsidRDefault="00FB4776" w:rsidP="00FB4776">
                            <w:pPr>
                              <w:rPr>
                                <w:rFonts w:cs="Arial"/>
                              </w:rPr>
                            </w:pPr>
                          </w:p>
                          <w:p w:rsidR="00FB4776" w:rsidRDefault="00FB4776" w:rsidP="00FB4776">
                            <w:pPr>
                              <w:rPr>
                                <w:rFonts w:cs="Arial"/>
                                <w:b/>
                              </w:rPr>
                            </w:pPr>
                            <w:r w:rsidRPr="00FB4776">
                              <w:rPr>
                                <w:rFonts w:cs="Arial"/>
                                <w:b/>
                              </w:rPr>
                              <w:t xml:space="preserve"> (Continued)</w:t>
                            </w:r>
                          </w:p>
                          <w:p w:rsidR="00BD44CC" w:rsidRPr="00FB4776" w:rsidRDefault="00BD44CC" w:rsidP="00FB4776">
                            <w:pPr>
                              <w:rPr>
                                <w:rFonts w:cs="Arial"/>
                                <w:b/>
                              </w:rPr>
                            </w:pPr>
                          </w:p>
                          <w:p w:rsidR="00FB4776" w:rsidRDefault="00FB4776" w:rsidP="00FB4776">
                            <w:pPr>
                              <w:pStyle w:val="ListParagraph"/>
                              <w:rPr>
                                <w:rFonts w:cs="Arial"/>
                              </w:rPr>
                            </w:pPr>
                            <w:r>
                              <w:rPr>
                                <w:rFonts w:cs="Arial"/>
                              </w:rPr>
                              <w:t xml:space="preserve">The IFoA is </w:t>
                            </w:r>
                            <w:r w:rsidR="00C04129">
                              <w:rPr>
                                <w:rFonts w:cs="Arial"/>
                              </w:rPr>
                              <w:t xml:space="preserve">carrying out </w:t>
                            </w:r>
                            <w:r>
                              <w:rPr>
                                <w:rFonts w:cs="Arial"/>
                              </w:rPr>
                              <w:t xml:space="preserve">further work on CDC, including conducting a survey </w:t>
                            </w:r>
                            <w:r w:rsidR="00C04129">
                              <w:rPr>
                                <w:rFonts w:cs="Arial"/>
                              </w:rPr>
                              <w:t xml:space="preserve">(jointly with the Royal Society for Arts) </w:t>
                            </w:r>
                            <w:r>
                              <w:rPr>
                                <w:rFonts w:cs="Arial"/>
                              </w:rPr>
                              <w:t>of the pensions industry on preferred forms of CDC, and commissioning academic research into the benefits of the most favoured form of CDC.</w:t>
                            </w:r>
                          </w:p>
                          <w:p w:rsidR="00FB4776" w:rsidRDefault="00FB4776" w:rsidP="00FB4776">
                            <w:pPr>
                              <w:pStyle w:val="ListParagraph"/>
                              <w:rPr>
                                <w:rFonts w:cs="Arial"/>
                              </w:rPr>
                            </w:pPr>
                          </w:p>
                          <w:p w:rsidR="00FB4776" w:rsidRDefault="00FB4776" w:rsidP="00FB4776">
                            <w:pPr>
                              <w:pStyle w:val="ListParagraph"/>
                              <w:rPr>
                                <w:rFonts w:cs="Arial"/>
                              </w:rPr>
                            </w:pPr>
                            <w:r>
                              <w:rPr>
                                <w:rFonts w:cs="Arial"/>
                              </w:rPr>
                              <w:t xml:space="preserve">Further, the IFoA is investigating the advantages of modern tontines.  These would </w:t>
                            </w:r>
                            <w:r w:rsidR="00C04129">
                              <w:rPr>
                                <w:rFonts w:cs="Arial"/>
                              </w:rPr>
                              <w:t>build</w:t>
                            </w:r>
                            <w:r>
                              <w:rPr>
                                <w:rFonts w:cs="Arial"/>
                              </w:rPr>
                              <w:t xml:space="preserve"> on individuals’ current option to </w:t>
                            </w:r>
                            <w:r w:rsidR="00C04129">
                              <w:rPr>
                                <w:rFonts w:cs="Arial"/>
                              </w:rPr>
                              <w:t xml:space="preserve">drawdown from </w:t>
                            </w:r>
                            <w:r>
                              <w:rPr>
                                <w:rFonts w:cs="Arial"/>
                              </w:rPr>
                              <w:t xml:space="preserve">a DC pot in retirement, </w:t>
                            </w:r>
                            <w:r w:rsidR="00375442">
                              <w:rPr>
                                <w:rFonts w:cs="Arial"/>
                              </w:rPr>
                              <w:t xml:space="preserve">by introducing </w:t>
                            </w:r>
                            <w:r>
                              <w:rPr>
                                <w:rFonts w:cs="Arial"/>
                              </w:rPr>
                              <w:t xml:space="preserve">an additional ‘product’ through which longer-lived members, who therefore have need for additional funds, would receive top ups to their pots from those members who die </w:t>
                            </w:r>
                            <w:r w:rsidR="00375442">
                              <w:rPr>
                                <w:rFonts w:cs="Arial"/>
                              </w:rPr>
                              <w:t>relatively younger</w:t>
                            </w:r>
                            <w:r>
                              <w:rPr>
                                <w:rFonts w:cs="Arial"/>
                              </w:rPr>
                              <w:t xml:space="preserve">.  </w:t>
                            </w:r>
                            <w:r w:rsidR="00375442">
                              <w:rPr>
                                <w:rFonts w:cs="Arial"/>
                              </w:rPr>
                              <w:t xml:space="preserve">Funds can still be retained for dependants.  Tontines are </w:t>
                            </w:r>
                            <w:r>
                              <w:rPr>
                                <w:rFonts w:cs="Arial"/>
                              </w:rPr>
                              <w:t>another way of provid</w:t>
                            </w:r>
                            <w:r w:rsidR="00375442">
                              <w:rPr>
                                <w:rFonts w:cs="Arial"/>
                              </w:rPr>
                              <w:t>ing</w:t>
                            </w:r>
                            <w:r>
                              <w:rPr>
                                <w:rFonts w:cs="Arial"/>
                              </w:rPr>
                              <w:t xml:space="preserve"> a more regular ‘income for life’.  Our initial academic research on this has been completed, and concluded that modern tontines are expected to generate much higher retirement income than a standard DC drawdown pot which </w:t>
                            </w:r>
                            <w:r w:rsidR="00375442">
                              <w:rPr>
                                <w:rFonts w:cs="Arial"/>
                              </w:rPr>
                              <w:t xml:space="preserve">is </w:t>
                            </w:r>
                            <w:r>
                              <w:rPr>
                                <w:rFonts w:cs="Arial"/>
                              </w:rPr>
                              <w:t>drawdown prudently to mitigate the risk of a long lifespan.  We have commissioned further research into the feasibility of modern tontines and to compare outcomes with other pension vehicles.  If this research indicates that modern tontines could be a superior way to provide benefits for certain groups of UK individuals, we would be keen to engage with industry over appetite and with Government over the feasibility of allowing DC pension trusts to provide tontines.</w:t>
                            </w:r>
                          </w:p>
                          <w:p w:rsidR="00FB4776" w:rsidRPr="0025345D" w:rsidRDefault="00FB4776" w:rsidP="00FB4776">
                            <w:pPr>
                              <w:pStyle w:val="ListParagraph"/>
                              <w:rPr>
                                <w:rFonts w:cs="Arial"/>
                              </w:rPr>
                            </w:pPr>
                          </w:p>
                          <w:p w:rsidR="00BD44CC" w:rsidRDefault="00BD44CC" w:rsidP="00BD44CC">
                            <w:pPr>
                              <w:pStyle w:val="ListParagraph"/>
                              <w:rPr>
                                <w:rFonts w:cs="Arial"/>
                                <w:b/>
                              </w:rPr>
                            </w:pPr>
                          </w:p>
                          <w:p w:rsidR="00FB4776" w:rsidRPr="00FB4776" w:rsidRDefault="00FB4776" w:rsidP="0098594B">
                            <w:pPr>
                              <w:pStyle w:val="ListParagraph"/>
                              <w:numPr>
                                <w:ilvl w:val="0"/>
                                <w:numId w:val="19"/>
                              </w:numPr>
                              <w:rPr>
                                <w:rFonts w:cs="Arial"/>
                                <w:b/>
                              </w:rPr>
                            </w:pPr>
                            <w:r w:rsidRPr="00FB4776">
                              <w:rPr>
                                <w:rFonts w:cs="Arial"/>
                                <w:b/>
                              </w:rPr>
                              <w:t>Are there barriers to providing other pension options which meet a need and are not currently available in the UK?</w:t>
                            </w:r>
                          </w:p>
                          <w:p w:rsidR="00FB4776" w:rsidRDefault="00FB4776" w:rsidP="00FB4776">
                            <w:pPr>
                              <w:pStyle w:val="ListParagraph"/>
                              <w:rPr>
                                <w:rFonts w:cs="Arial"/>
                              </w:rPr>
                            </w:pPr>
                          </w:p>
                          <w:p w:rsidR="00FB4776" w:rsidRDefault="00FB4776" w:rsidP="00FB4776">
                            <w:pPr>
                              <w:pStyle w:val="ListParagraph"/>
                              <w:rPr>
                                <w:rFonts w:cs="Arial"/>
                              </w:rPr>
                            </w:pPr>
                            <w:r>
                              <w:rPr>
                                <w:rFonts w:cs="Arial"/>
                              </w:rPr>
                              <w:t xml:space="preserve">The main barrier relates to the law; employers must auto-enrol employees in pensions, and will consider only those pension designs which meet this </w:t>
                            </w:r>
                            <w:r w:rsidR="00375442">
                              <w:rPr>
                                <w:rFonts w:cs="Arial"/>
                              </w:rPr>
                              <w:t xml:space="preserve">legal </w:t>
                            </w:r>
                            <w:r>
                              <w:rPr>
                                <w:rFonts w:cs="Arial"/>
                              </w:rPr>
                              <w:t>requirement and receive the associated tax treatment</w:t>
                            </w:r>
                            <w:r w:rsidR="00375442">
                              <w:rPr>
                                <w:rFonts w:cs="Arial"/>
                              </w:rPr>
                              <w:t xml:space="preserve"> that incentivises retirement savings</w:t>
                            </w:r>
                            <w:r>
                              <w:rPr>
                                <w:rFonts w:cs="Arial"/>
                              </w:rPr>
                              <w:t>.</w:t>
                            </w:r>
                          </w:p>
                          <w:p w:rsidR="00FB4776" w:rsidRDefault="00FB4776" w:rsidP="00FB4776">
                            <w:pPr>
                              <w:pStyle w:val="ListParagraph"/>
                              <w:rPr>
                                <w:rFonts w:cs="Arial"/>
                              </w:rPr>
                            </w:pPr>
                          </w:p>
                          <w:p w:rsidR="00FB4776" w:rsidDel="00401959" w:rsidRDefault="00FB4776" w:rsidP="00FB4776">
                            <w:pPr>
                              <w:pStyle w:val="ListParagraph"/>
                            </w:pPr>
                            <w:r>
                              <w:rPr>
                                <w:rFonts w:cs="Arial"/>
                              </w:rPr>
                              <w:t xml:space="preserve">The Government has made </w:t>
                            </w:r>
                            <w:r w:rsidR="00375442">
                              <w:rPr>
                                <w:rFonts w:cs="Arial"/>
                              </w:rPr>
                              <w:t>significant progress</w:t>
                            </w:r>
                            <w:r>
                              <w:rPr>
                                <w:rFonts w:cs="Arial"/>
                              </w:rPr>
                              <w:t xml:space="preserve"> on </w:t>
                            </w:r>
                            <w:r w:rsidR="00375442">
                              <w:rPr>
                                <w:rFonts w:cs="Arial"/>
                              </w:rPr>
                              <w:t>the removal of this barrier</w:t>
                            </w:r>
                            <w:r>
                              <w:rPr>
                                <w:rFonts w:cs="Arial"/>
                              </w:rPr>
                              <w:t xml:space="preserve">, through the enablement of CDC through </w:t>
                            </w:r>
                            <w:r w:rsidDel="00D600CD">
                              <w:rPr>
                                <w:rFonts w:cs="Arial"/>
                              </w:rPr>
                              <w:t xml:space="preserve">the Pensions Schemes Act 2021. </w:t>
                            </w:r>
                            <w:r>
                              <w:rPr>
                                <w:rFonts w:cs="Arial"/>
                              </w:rPr>
                              <w:t xml:space="preserve"> We are encouraged that this will lead the pensions industry and employers to consider CDC and other new forms of pension provision, leading to further innovation to improve pension provision for the UK.  We are seeking to help facilitate this through our campaigns and research.</w:t>
                            </w:r>
                            <w:r w:rsidR="00375442">
                              <w:rPr>
                                <w:rFonts w:cs="Arial"/>
                              </w:rPr>
                              <w:t xml:space="preserve">  However as noted in 2 above, the Government and DWP will have a big part to play through the enablement of any further designs which can be shown to have merit and be sound.</w:t>
                            </w:r>
                          </w:p>
                          <w:p w:rsidR="00FB4776" w:rsidRDefault="00FB4776" w:rsidP="00FB4776">
                            <w:pPr>
                              <w:rPr>
                                <w:rFonts w:cs="Arial"/>
                              </w:rPr>
                            </w:pPr>
                          </w:p>
                          <w:p w:rsidR="00FB4776" w:rsidRPr="00C96677" w:rsidRDefault="00FB4776" w:rsidP="00FB4776">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16C11" id="Text Box 5" o:spid="_x0000_s1027" type="#_x0000_t202" style="position:absolute;margin-left:-7.65pt;margin-top:36.4pt;width:487.55pt;height:63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nYQIAAMoEAAAOAAAAZHJzL2Uyb0RvYy54bWysVE1vGjEQvVfqf7B8b5ZFkBDEEpFEVJWi&#10;JFKocjZeL6zk9bi2YZf++j6bj5Ckp6ocjOfDb2bezOzkpms02yrnazIFzy96nCkjqazNquA/F/Nv&#10;I858EKYUmowq+E55fjP9+mXS2rHq05p0qRwDiPHj1hZ8HYIdZ5mXa9UIf0FWGRgrco0IEN0qK51o&#10;gd7orN/rXWYtudI6ksp7aO/3Rj5N+FWlZHiqKq8C0wVHbiGdLp3LeGbTiRivnLDrWh7SEP+QRSNq&#10;g6AnqHsRBNu4+hNUU0tHnqpwIanJqKpqqVINqCbvfajmZS2sSrWAHG9PNPn/Bysft8+O1WXBh5wZ&#10;0aBFC9UFdksdG0Z2WuvHcHqxcAsd1OjyUe+hjEV3lWviP8phsIPn3YnbCCahvMyv89EIQSRsox6K&#10;7SX2s7fn1vnwXVHD4qXgDs1LnIrtgw9IBa5HlxjNk67Lea11Enb+Tju2FegzxqOkljMtfICy4PP0&#10;i1kD4t0zbVhb8P5oeDVMod4ZvVstT6D317Pb/PIzBhC1iRmoNG2HTCNre3biLXTLLnF8Ym5J5Q6E&#10;OtoPpLdyXqPoB2T8LBwmEBxiq8ITjkoTcqTDjbM1ud9/00d/DAasnLWY6IL7XxvhFIj4YTAy1/lg&#10;EFcgCYPhVR+CO7cszy1m09wRyMyxv1ama/QP+nitHDWvWL5ZjAqTMBKxCx6O17uw3zMsr1SzWXLC&#10;0FsRHsyLlRE68hZbuuhehbOHvgeMzCMdZ1+MP7R/7xtfGpptAlV1mo3I855VdDkKWJjU78Nyx408&#10;l5PX2ydo+gcAAP//AwBQSwMEFAAGAAgAAAAhAO+P/FTeAAAACwEAAA8AAABkcnMvZG93bnJldi54&#10;bWxMj0FPwzAMhe9I/IfISNy2dOsKW2k6oSGOIK1w4ZY1pulonKrJ1u7fY07sZvt9en6v2E6uE2cc&#10;QutJwWKegECqvWmpUfD58TpbgwhRk9GdJ1RwwQDb8vam0LnxI+3xXMVGsAmFXCuwMfa5lKG26HSY&#10;+x6JtW8/OB15HRppBj2yuevkMkkepNMt8Qere9xZrH+qk1NgXui4/8LsYjGj92r9ttqNx5VS93fT&#10;8xOIiFP8h+EvPkeHkjMd/IlMEJ2C2SJLGVXwuOQKDGyyDQ8HJtOUT7Is5HWH8hcAAP//AwBQSwEC&#10;LQAUAAYACAAAACEAtoM4kv4AAADhAQAAEwAAAAAAAAAAAAAAAAAAAAAAW0NvbnRlbnRfVHlwZXNd&#10;LnhtbFBLAQItABQABgAIAAAAIQA4/SH/1gAAAJQBAAALAAAAAAAAAAAAAAAAAC8BAABfcmVscy8u&#10;cmVsc1BLAQItABQABgAIAAAAIQD/tDinYQIAAMoEAAAOAAAAAAAAAAAAAAAAAC4CAABkcnMvZTJv&#10;RG9jLnhtbFBLAQItABQABgAIAAAAIQDvj/xU3gAAAAsBAAAPAAAAAAAAAAAAAAAAALsEAABkcnMv&#10;ZG93bnJldi54bWxQSwUGAAAAAAQABADzAAAAxgUAAAAA&#10;" fillcolor="window" strokecolor="#d9ab16" strokeweight="2.25pt">
                <v:textbox>
                  <w:txbxContent>
                    <w:p w:rsidR="00FB4776" w:rsidRDefault="00FB4776" w:rsidP="00FB4776">
                      <w:pPr>
                        <w:rPr>
                          <w:rFonts w:cs="Arial"/>
                        </w:rPr>
                      </w:pPr>
                    </w:p>
                    <w:p w:rsidR="00FB4776" w:rsidRDefault="00FB4776" w:rsidP="00FB4776">
                      <w:pPr>
                        <w:rPr>
                          <w:rFonts w:cs="Arial"/>
                          <w:b/>
                        </w:rPr>
                      </w:pPr>
                      <w:r w:rsidRPr="00FB4776">
                        <w:rPr>
                          <w:rFonts w:cs="Arial"/>
                          <w:b/>
                        </w:rPr>
                        <w:t xml:space="preserve"> (Continued)</w:t>
                      </w:r>
                    </w:p>
                    <w:p w:rsidR="00BD44CC" w:rsidRPr="00FB4776" w:rsidRDefault="00BD44CC" w:rsidP="00FB4776">
                      <w:pPr>
                        <w:rPr>
                          <w:rFonts w:cs="Arial"/>
                          <w:b/>
                        </w:rPr>
                      </w:pPr>
                    </w:p>
                    <w:p w:rsidR="00FB4776" w:rsidRDefault="00FB4776" w:rsidP="00FB4776">
                      <w:pPr>
                        <w:pStyle w:val="ListParagraph"/>
                        <w:rPr>
                          <w:rFonts w:cs="Arial"/>
                        </w:rPr>
                      </w:pPr>
                      <w:r>
                        <w:rPr>
                          <w:rFonts w:cs="Arial"/>
                        </w:rPr>
                        <w:t xml:space="preserve">The IFoA is </w:t>
                      </w:r>
                      <w:r w:rsidR="00C04129">
                        <w:rPr>
                          <w:rFonts w:cs="Arial"/>
                        </w:rPr>
                        <w:t xml:space="preserve">carrying out </w:t>
                      </w:r>
                      <w:r>
                        <w:rPr>
                          <w:rFonts w:cs="Arial"/>
                        </w:rPr>
                        <w:t xml:space="preserve">further work on CDC, including conducting a survey </w:t>
                      </w:r>
                      <w:r w:rsidR="00C04129">
                        <w:rPr>
                          <w:rFonts w:cs="Arial"/>
                        </w:rPr>
                        <w:t xml:space="preserve">(jointly with the Royal Society for Arts) </w:t>
                      </w:r>
                      <w:r>
                        <w:rPr>
                          <w:rFonts w:cs="Arial"/>
                        </w:rPr>
                        <w:t>of the pensions industry on preferred forms of CDC, and commissioning academic research into the benefits of the most favoured form of CDC.</w:t>
                      </w:r>
                    </w:p>
                    <w:p w:rsidR="00FB4776" w:rsidRDefault="00FB4776" w:rsidP="00FB4776">
                      <w:pPr>
                        <w:pStyle w:val="ListParagraph"/>
                        <w:rPr>
                          <w:rFonts w:cs="Arial"/>
                        </w:rPr>
                      </w:pPr>
                    </w:p>
                    <w:p w:rsidR="00FB4776" w:rsidRDefault="00FB4776" w:rsidP="00FB4776">
                      <w:pPr>
                        <w:pStyle w:val="ListParagraph"/>
                        <w:rPr>
                          <w:rFonts w:cs="Arial"/>
                        </w:rPr>
                      </w:pPr>
                      <w:r>
                        <w:rPr>
                          <w:rFonts w:cs="Arial"/>
                        </w:rPr>
                        <w:t xml:space="preserve">Further, the IFoA is investigating the advantages of modern tontines.  These would </w:t>
                      </w:r>
                      <w:r w:rsidR="00C04129">
                        <w:rPr>
                          <w:rFonts w:cs="Arial"/>
                        </w:rPr>
                        <w:t>build</w:t>
                      </w:r>
                      <w:r>
                        <w:rPr>
                          <w:rFonts w:cs="Arial"/>
                        </w:rPr>
                        <w:t xml:space="preserve"> on individuals’ current option to </w:t>
                      </w:r>
                      <w:r w:rsidR="00C04129">
                        <w:rPr>
                          <w:rFonts w:cs="Arial"/>
                        </w:rPr>
                        <w:t xml:space="preserve">drawdown from </w:t>
                      </w:r>
                      <w:r>
                        <w:rPr>
                          <w:rFonts w:cs="Arial"/>
                        </w:rPr>
                        <w:t xml:space="preserve">a DC pot in retirement, </w:t>
                      </w:r>
                      <w:r w:rsidR="00375442">
                        <w:rPr>
                          <w:rFonts w:cs="Arial"/>
                        </w:rPr>
                        <w:t xml:space="preserve">by introducing </w:t>
                      </w:r>
                      <w:r>
                        <w:rPr>
                          <w:rFonts w:cs="Arial"/>
                        </w:rPr>
                        <w:t xml:space="preserve">an additional ‘product’ through which longer-lived members, who therefore have need for additional funds, would receive top ups to their pots from those members who die </w:t>
                      </w:r>
                      <w:r w:rsidR="00375442">
                        <w:rPr>
                          <w:rFonts w:cs="Arial"/>
                        </w:rPr>
                        <w:t>relatively younger</w:t>
                      </w:r>
                      <w:r>
                        <w:rPr>
                          <w:rFonts w:cs="Arial"/>
                        </w:rPr>
                        <w:t xml:space="preserve">.  </w:t>
                      </w:r>
                      <w:r w:rsidR="00375442">
                        <w:rPr>
                          <w:rFonts w:cs="Arial"/>
                        </w:rPr>
                        <w:t xml:space="preserve">Funds can still be retained for dependants.  Tontines are </w:t>
                      </w:r>
                      <w:r>
                        <w:rPr>
                          <w:rFonts w:cs="Arial"/>
                        </w:rPr>
                        <w:t>another way of provid</w:t>
                      </w:r>
                      <w:r w:rsidR="00375442">
                        <w:rPr>
                          <w:rFonts w:cs="Arial"/>
                        </w:rPr>
                        <w:t>ing</w:t>
                      </w:r>
                      <w:r>
                        <w:rPr>
                          <w:rFonts w:cs="Arial"/>
                        </w:rPr>
                        <w:t xml:space="preserve"> a more regular ‘income for life’.  Our initial academic research on this has been completed, and concluded that modern tontines are expected to generate much higher retirement income than a standard DC drawdown pot which </w:t>
                      </w:r>
                      <w:r w:rsidR="00375442">
                        <w:rPr>
                          <w:rFonts w:cs="Arial"/>
                        </w:rPr>
                        <w:t xml:space="preserve">is </w:t>
                      </w:r>
                      <w:r>
                        <w:rPr>
                          <w:rFonts w:cs="Arial"/>
                        </w:rPr>
                        <w:t>drawdown prudently to mitigate the risk of a long lifespan.  We have commissioned further research into the feasibility of modern tontines and to compare outcomes with other pension vehicles.  If this research indicates that modern tontines could be a superior way to provide benefits for certain groups of UK individuals, we would be keen to engage with industry over appetite and with Government over the feasibility of allowing DC pension trusts to provide tontines.</w:t>
                      </w:r>
                    </w:p>
                    <w:p w:rsidR="00FB4776" w:rsidRPr="0025345D" w:rsidRDefault="00FB4776" w:rsidP="00FB4776">
                      <w:pPr>
                        <w:pStyle w:val="ListParagraph"/>
                        <w:rPr>
                          <w:rFonts w:cs="Arial"/>
                        </w:rPr>
                      </w:pPr>
                    </w:p>
                    <w:p w:rsidR="00BD44CC" w:rsidRDefault="00BD44CC" w:rsidP="00BD44CC">
                      <w:pPr>
                        <w:pStyle w:val="ListParagraph"/>
                        <w:rPr>
                          <w:rFonts w:cs="Arial"/>
                          <w:b/>
                        </w:rPr>
                      </w:pPr>
                    </w:p>
                    <w:p w:rsidR="00FB4776" w:rsidRPr="00FB4776" w:rsidRDefault="00FB4776" w:rsidP="0098594B">
                      <w:pPr>
                        <w:pStyle w:val="ListParagraph"/>
                        <w:numPr>
                          <w:ilvl w:val="0"/>
                          <w:numId w:val="19"/>
                        </w:numPr>
                        <w:rPr>
                          <w:rFonts w:cs="Arial"/>
                          <w:b/>
                        </w:rPr>
                      </w:pPr>
                      <w:r w:rsidRPr="00FB4776">
                        <w:rPr>
                          <w:rFonts w:cs="Arial"/>
                          <w:b/>
                        </w:rPr>
                        <w:t>Are there barriers to providing other pension options which meet a need and are not currently available in the UK?</w:t>
                      </w:r>
                    </w:p>
                    <w:p w:rsidR="00FB4776" w:rsidRDefault="00FB4776" w:rsidP="00FB4776">
                      <w:pPr>
                        <w:pStyle w:val="ListParagraph"/>
                        <w:rPr>
                          <w:rFonts w:cs="Arial"/>
                        </w:rPr>
                      </w:pPr>
                    </w:p>
                    <w:p w:rsidR="00FB4776" w:rsidRDefault="00FB4776" w:rsidP="00FB4776">
                      <w:pPr>
                        <w:pStyle w:val="ListParagraph"/>
                        <w:rPr>
                          <w:rFonts w:cs="Arial"/>
                        </w:rPr>
                      </w:pPr>
                      <w:r>
                        <w:rPr>
                          <w:rFonts w:cs="Arial"/>
                        </w:rPr>
                        <w:t xml:space="preserve">The main barrier relates to the law; employers must auto-enrol employees in pensions, and will consider only those pension designs which meet this </w:t>
                      </w:r>
                      <w:r w:rsidR="00375442">
                        <w:rPr>
                          <w:rFonts w:cs="Arial"/>
                        </w:rPr>
                        <w:t xml:space="preserve">legal </w:t>
                      </w:r>
                      <w:r>
                        <w:rPr>
                          <w:rFonts w:cs="Arial"/>
                        </w:rPr>
                        <w:t>requirement and receive the associated tax treatment</w:t>
                      </w:r>
                      <w:r w:rsidR="00375442">
                        <w:rPr>
                          <w:rFonts w:cs="Arial"/>
                        </w:rPr>
                        <w:t xml:space="preserve"> that incentivises retirement savings</w:t>
                      </w:r>
                      <w:r>
                        <w:rPr>
                          <w:rFonts w:cs="Arial"/>
                        </w:rPr>
                        <w:t>.</w:t>
                      </w:r>
                    </w:p>
                    <w:p w:rsidR="00FB4776" w:rsidRDefault="00FB4776" w:rsidP="00FB4776">
                      <w:pPr>
                        <w:pStyle w:val="ListParagraph"/>
                        <w:rPr>
                          <w:rFonts w:cs="Arial"/>
                        </w:rPr>
                      </w:pPr>
                    </w:p>
                    <w:p w:rsidR="00FB4776" w:rsidDel="00401959" w:rsidRDefault="00FB4776" w:rsidP="00FB4776">
                      <w:pPr>
                        <w:pStyle w:val="ListParagraph"/>
                      </w:pPr>
                      <w:r>
                        <w:rPr>
                          <w:rFonts w:cs="Arial"/>
                        </w:rPr>
                        <w:t xml:space="preserve">The Government has made </w:t>
                      </w:r>
                      <w:r w:rsidR="00375442">
                        <w:rPr>
                          <w:rFonts w:cs="Arial"/>
                        </w:rPr>
                        <w:t>significant progress</w:t>
                      </w:r>
                      <w:r>
                        <w:rPr>
                          <w:rFonts w:cs="Arial"/>
                        </w:rPr>
                        <w:t xml:space="preserve"> on </w:t>
                      </w:r>
                      <w:r w:rsidR="00375442">
                        <w:rPr>
                          <w:rFonts w:cs="Arial"/>
                        </w:rPr>
                        <w:t>the removal of this barrier</w:t>
                      </w:r>
                      <w:r>
                        <w:rPr>
                          <w:rFonts w:cs="Arial"/>
                        </w:rPr>
                        <w:t xml:space="preserve">, through the enablement of CDC through </w:t>
                      </w:r>
                      <w:r w:rsidDel="00D600CD">
                        <w:rPr>
                          <w:rFonts w:cs="Arial"/>
                        </w:rPr>
                        <w:t xml:space="preserve">the Pensions Schemes Act 2021. </w:t>
                      </w:r>
                      <w:r>
                        <w:rPr>
                          <w:rFonts w:cs="Arial"/>
                        </w:rPr>
                        <w:t xml:space="preserve"> We are encouraged that this will lead the pensions industry and employers to consider CDC and other new forms of pension provision, leading to further innovation to improve pension provision for the UK.  We are seeking to help facilitate this through our campaigns and research.</w:t>
                      </w:r>
                      <w:r w:rsidR="00375442">
                        <w:rPr>
                          <w:rFonts w:cs="Arial"/>
                        </w:rPr>
                        <w:t xml:space="preserve">  However as noted in 2 above, the Government and DWP will have a big part to play through the enablement of any further designs which can be shown to have merit and be sound.</w:t>
                      </w:r>
                    </w:p>
                    <w:p w:rsidR="00FB4776" w:rsidRDefault="00FB4776" w:rsidP="00FB4776">
                      <w:pPr>
                        <w:rPr>
                          <w:rFonts w:cs="Arial"/>
                        </w:rPr>
                      </w:pPr>
                    </w:p>
                    <w:p w:rsidR="00FB4776" w:rsidRPr="00C96677" w:rsidRDefault="00FB4776" w:rsidP="00FB4776">
                      <w:pPr>
                        <w:rPr>
                          <w:rFonts w:cs="Arial"/>
                        </w:rPr>
                      </w:pPr>
                    </w:p>
                  </w:txbxContent>
                </v:textbox>
                <w10:wrap type="tight" anchorx="margin" anchory="page"/>
              </v:shape>
            </w:pict>
          </mc:Fallback>
        </mc:AlternateContent>
      </w:r>
    </w:p>
    <w:p w:rsidR="00FB4776" w:rsidRDefault="00FB4776" w:rsidP="008E1B4D">
      <w:pPr>
        <w:rPr>
          <w:rFonts w:cs="Arial"/>
        </w:rPr>
      </w:pPr>
    </w:p>
    <w:p w:rsidR="00FB4776" w:rsidRDefault="00FB4776" w:rsidP="008E1B4D">
      <w:pPr>
        <w:rPr>
          <w:rFonts w:cs="Arial"/>
        </w:rPr>
      </w:pPr>
    </w:p>
    <w:p w:rsidR="00FB4776" w:rsidRDefault="00FB4776" w:rsidP="008E1B4D">
      <w:pPr>
        <w:rPr>
          <w:rFonts w:cs="Arial"/>
        </w:rPr>
      </w:pPr>
    </w:p>
    <w:p w:rsidR="00FB4776" w:rsidRDefault="00C04129" w:rsidP="008E1B4D">
      <w:pPr>
        <w:rPr>
          <w:rFonts w:cs="Arial"/>
        </w:rPr>
      </w:pPr>
      <w:r w:rsidRPr="00FB4776">
        <w:rPr>
          <w:rFonts w:cs="Arial"/>
          <w:noProof/>
          <w:szCs w:val="20"/>
          <w:highlight w:val="yellow"/>
          <w:lang w:eastAsia="en-GB"/>
        </w:rPr>
        <w:lastRenderedPageBreak/>
        <mc:AlternateContent>
          <mc:Choice Requires="wps">
            <w:drawing>
              <wp:anchor distT="0" distB="0" distL="114300" distR="114300" simplePos="0" relativeHeight="251665408" behindDoc="0" locked="0" layoutInCell="1" allowOverlap="1" wp14:anchorId="4DAA593A" wp14:editId="1B2DE71B">
                <wp:simplePos x="0" y="0"/>
                <wp:positionH relativeFrom="margin">
                  <wp:posOffset>-34290</wp:posOffset>
                </wp:positionH>
                <wp:positionV relativeFrom="paragraph">
                  <wp:posOffset>152400</wp:posOffset>
                </wp:positionV>
                <wp:extent cx="6191885" cy="2962275"/>
                <wp:effectExtent l="19050" t="19050" r="18415" b="28575"/>
                <wp:wrapSquare wrapText="bothSides"/>
                <wp:docPr id="8" name="Text Box 8"/>
                <wp:cNvGraphicFramePr/>
                <a:graphic xmlns:a="http://schemas.openxmlformats.org/drawingml/2006/main">
                  <a:graphicData uri="http://schemas.microsoft.com/office/word/2010/wordprocessingShape">
                    <wps:wsp>
                      <wps:cNvSpPr txBox="1"/>
                      <wps:spPr>
                        <a:xfrm>
                          <a:off x="0" y="0"/>
                          <a:ext cx="6191885" cy="2962275"/>
                        </a:xfrm>
                        <a:prstGeom prst="rect">
                          <a:avLst/>
                        </a:prstGeom>
                        <a:solidFill>
                          <a:sysClr val="window" lastClr="FFFFFF"/>
                        </a:solidFill>
                        <a:ln w="28575">
                          <a:solidFill>
                            <a:srgbClr val="D9AB16"/>
                          </a:solidFill>
                        </a:ln>
                        <a:effectLst/>
                      </wps:spPr>
                      <wps:txbx>
                        <w:txbxContent>
                          <w:p w:rsidR="00BD44CC" w:rsidRPr="00983BC0" w:rsidRDefault="00BD44CC" w:rsidP="00BD44CC">
                            <w:pPr>
                              <w:rPr>
                                <w:rFonts w:cs="Arial"/>
                                <w:b/>
                              </w:rPr>
                            </w:pPr>
                          </w:p>
                          <w:p w:rsidR="00BD44CC" w:rsidRDefault="00BD44CC" w:rsidP="0098594B">
                            <w:pPr>
                              <w:pStyle w:val="ListParagraph"/>
                              <w:numPr>
                                <w:ilvl w:val="0"/>
                                <w:numId w:val="20"/>
                              </w:numPr>
                              <w:rPr>
                                <w:rFonts w:cs="Arial"/>
                                <w:b/>
                              </w:rPr>
                            </w:pPr>
                            <w:r w:rsidRPr="00983BC0">
                              <w:rPr>
                                <w:rFonts w:cs="Arial"/>
                                <w:b/>
                              </w:rPr>
                              <w:t>Are people receiving the guidance and advice they need to make informed decisions about how they access their pensions?</w:t>
                            </w:r>
                          </w:p>
                          <w:p w:rsidR="00BD44CC" w:rsidRPr="00983BC0" w:rsidRDefault="00BD44CC" w:rsidP="00BD44CC">
                            <w:pPr>
                              <w:pStyle w:val="ListParagraph"/>
                              <w:rPr>
                                <w:rFonts w:cs="Arial"/>
                              </w:rPr>
                            </w:pPr>
                          </w:p>
                          <w:p w:rsidR="00BD44CC" w:rsidRPr="00983BC0" w:rsidRDefault="00BD44CC" w:rsidP="00BD44CC">
                            <w:pPr>
                              <w:pStyle w:val="ListParagraph"/>
                              <w:rPr>
                                <w:rFonts w:cs="Arial"/>
                              </w:rPr>
                            </w:pPr>
                            <w:r>
                              <w:rPr>
                                <w:rFonts w:cs="Arial"/>
                              </w:rPr>
                              <w:t>E</w:t>
                            </w:r>
                            <w:r w:rsidRPr="00983BC0">
                              <w:rPr>
                                <w:rFonts w:cs="Arial"/>
                              </w:rPr>
                              <w:t>vidence suggests that people who take Pension Wise guidance feel more confident and have better outcomes than those who do not. However, there is concern about the low take-up of Pension Wise. In a recent Parliamentary debate the Shadow Pensions Minister, Seema Malhotra, stated that only 1 in every 33 people eligible to use Pension Wise do so.</w:t>
                            </w:r>
                            <w:r>
                              <w:rPr>
                                <w:rFonts w:cs="Arial"/>
                              </w:rPr>
                              <w:t xml:space="preserve"> L</w:t>
                            </w:r>
                            <w:r w:rsidRPr="00983BC0">
                              <w:rPr>
                                <w:rFonts w:cs="Arial"/>
                              </w:rPr>
                              <w:t>ess</w:t>
                            </w:r>
                            <w:r>
                              <w:rPr>
                                <w:rFonts w:cs="Arial"/>
                              </w:rPr>
                              <w:t xml:space="preserve"> </w:t>
                            </w:r>
                            <w:r w:rsidRPr="00983BC0">
                              <w:rPr>
                                <w:rFonts w:cs="Arial"/>
                              </w:rPr>
                              <w:t>engaged consumers who opt for income drawdown often accept their own pension provider’s default drawdown product, rather than shopping around. Providing automatic Pension Wise advice sessions before retirement would help consumers to consider the pros and cons of drawdown at that stage, so that they could later look separately at the choice of which product would best meet their needs.</w:t>
                            </w:r>
                            <w:r>
                              <w:rPr>
                                <w:rFonts w:cs="Arial"/>
                              </w:rPr>
                              <w:t xml:space="preserve"> In our GRT report, the IFoA</w:t>
                            </w:r>
                            <w:r w:rsidRPr="00983BC0">
                              <w:rPr>
                                <w:rFonts w:cs="Arial"/>
                              </w:rPr>
                              <w:t xml:space="preserve"> recommend that the Financial Conduct Authority (FCA) should set a specific and ambitious target to achieve a significant increase in take-up by individuals of Pension Wise appointments before accessing their pension</w:t>
                            </w:r>
                            <w:r>
                              <w:rPr>
                                <w:rFonts w:cs="Arial"/>
                              </w:rPr>
                              <w:t>.</w:t>
                            </w:r>
                          </w:p>
                          <w:p w:rsidR="00BD44CC" w:rsidRDefault="00BD44CC" w:rsidP="00BD44CC">
                            <w:pPr>
                              <w:pStyle w:val="ListParagraph"/>
                              <w:ind w:left="0"/>
                              <w:rPr>
                                <w:rFonts w:cs="Arial"/>
                                <w:highlight w:val="yellow"/>
                              </w:rPr>
                            </w:pPr>
                          </w:p>
                          <w:p w:rsidR="00BD44CC" w:rsidRDefault="00BD44CC" w:rsidP="00BD44CC">
                            <w:pPr>
                              <w:pStyle w:val="ListParagraph"/>
                              <w:ind w:left="0"/>
                              <w:rPr>
                                <w:rFonts w:cs="Arial"/>
                              </w:rPr>
                            </w:pPr>
                          </w:p>
                          <w:p w:rsidR="00BD44CC" w:rsidRDefault="00BD44CC" w:rsidP="00BD44CC">
                            <w:pPr>
                              <w:rPr>
                                <w:rFonts w:cs="Arial"/>
                                <w:b/>
                              </w:rPr>
                            </w:pPr>
                          </w:p>
                          <w:p w:rsidR="00BD44CC" w:rsidRPr="00983BC0" w:rsidRDefault="00BD44CC" w:rsidP="00BD44CC">
                            <w:pPr>
                              <w:rPr>
                                <w:rFonts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A593A" id="Text Box 8" o:spid="_x0000_s1028" type="#_x0000_t202" style="position:absolute;margin-left:-2.7pt;margin-top:12pt;width:487.55pt;height:23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jhXgIAAMoEAAAOAAAAZHJzL2Uyb0RvYy54bWysVE1vGjEQvVfqf7B8b5ZFgQDKEpFEVJWi&#10;JFJS5Wy8XljJ63Ftwy799X32AvnqqSoHM18ez7x5s5dXXaPZTjlfkyl4fjbgTBlJZW3WBf/5vPw2&#10;4cwHYUqhyaiC75XnV/OvXy5bO1ND2pAulWNIYvystQXfhGBnWeblRjXCn5FVBs6KXCMCVLfOSida&#10;ZG90NhwMxllLrrSOpPIe1tveyecpf1UpGR6qyqvAdMFRW0inS+cqntn8UszWTthNLQ9liH+oohG1&#10;waOnVLciCLZ19adUTS0dearCmaQmo6qqpUo9oJt88KGbp42wKvUCcLw9weT/X1p5v3t0rC4LjkEZ&#10;0WBEz6oL7Jo6NonotNbPEPRkERY6mDHlo93DGJvuKtfEf7TD4AfO+xO2MZmEcZxP88lkxJmEbzgd&#10;D4cXo5gne71unQ/fFTUsCgV3GF7CVOzufOhDjyHxNU+6Lpe11knZ+xvt2E5gzqBHSS1nWvgAY8GX&#10;6Xd47d01bViLciYjFPM5p1uvTklvp4vrfPw5B+rXJl5ViW2HSiNqPTpRCt2qSxgPj8itqNwDUEc9&#10;Ib2VyxpN36HiR+HAQGCIrQoPOCpNqJEOEmcbcr//Zo/xIAa8nLVgdMH9r61wCkD8MKDMND8/jyuQ&#10;lPPRxRCKe+tZvfWYbXNDADPH/lqZxBgf9FGsHDUvWL5FfBUuYSTeLng4ijeh3zMsr1SLRQoC6a0I&#10;d+bJypg64hZH+ty9CGcPcw+gzD0duS9mH8bfx8abhhbbQFWduBFx7lEFp6KChUnsOix33Mi3eop6&#10;/QTN/wAAAP//AwBQSwMEFAAGAAgAAAAhAOcuIg7dAAAACQEAAA8AAABkcnMvZG93bnJldi54bWxM&#10;j8FOwzAQRO9I/IO1SNxah8opTYhToSKOIDVw4ebGS5ISr6PYbdK/ZznR42hGM2+K7ex6ccYxdJ40&#10;PCwTEEi1tx01Gj4/XhcbECEasqb3hBouGGBb3t4UJrd+oj2eq9gILqGQGw1tjEMuZahbdCYs/YDE&#10;3rcfnYksx0ba0Uxc7nq5SpK1dKYjXmjNgLsW65/q5DTYFzruvzC9tJjSe7V5U7vpqLS+v5ufn0BE&#10;nON/GP7wGR1KZjr4E9kgeg2LVHFSw0rxJfazdfYI4qBBZUkKsizk9YPyFwAA//8DAFBLAQItABQA&#10;BgAIAAAAIQC2gziS/gAAAOEBAAATAAAAAAAAAAAAAAAAAAAAAABbQ29udGVudF9UeXBlc10ueG1s&#10;UEsBAi0AFAAGAAgAAAAhADj9If/WAAAAlAEAAAsAAAAAAAAAAAAAAAAALwEAAF9yZWxzLy5yZWxz&#10;UEsBAi0AFAAGAAgAAAAhAPYkOOFeAgAAygQAAA4AAAAAAAAAAAAAAAAALgIAAGRycy9lMm9Eb2Mu&#10;eG1sUEsBAi0AFAAGAAgAAAAhAOcuIg7dAAAACQEAAA8AAAAAAAAAAAAAAAAAuAQAAGRycy9kb3du&#10;cmV2LnhtbFBLBQYAAAAABAAEAPMAAADCBQAAAAA=&#10;" fillcolor="window" strokecolor="#d9ab16" strokeweight="2.25pt">
                <v:textbox>
                  <w:txbxContent>
                    <w:p w:rsidR="00BD44CC" w:rsidRPr="00983BC0" w:rsidRDefault="00BD44CC" w:rsidP="00BD44CC">
                      <w:pPr>
                        <w:rPr>
                          <w:rFonts w:cs="Arial"/>
                          <w:b/>
                        </w:rPr>
                      </w:pPr>
                    </w:p>
                    <w:p w:rsidR="00BD44CC" w:rsidRDefault="00BD44CC" w:rsidP="0098594B">
                      <w:pPr>
                        <w:pStyle w:val="ListParagraph"/>
                        <w:numPr>
                          <w:ilvl w:val="0"/>
                          <w:numId w:val="20"/>
                        </w:numPr>
                        <w:rPr>
                          <w:rFonts w:cs="Arial"/>
                          <w:b/>
                        </w:rPr>
                      </w:pPr>
                      <w:r w:rsidRPr="00983BC0">
                        <w:rPr>
                          <w:rFonts w:cs="Arial"/>
                          <w:b/>
                        </w:rPr>
                        <w:t>Are people receiving the guidance and advice they need to make informed decisions about how they access their pensions?</w:t>
                      </w:r>
                    </w:p>
                    <w:p w:rsidR="00BD44CC" w:rsidRPr="00983BC0" w:rsidRDefault="00BD44CC" w:rsidP="00BD44CC">
                      <w:pPr>
                        <w:pStyle w:val="ListParagraph"/>
                        <w:rPr>
                          <w:rFonts w:cs="Arial"/>
                        </w:rPr>
                      </w:pPr>
                    </w:p>
                    <w:p w:rsidR="00BD44CC" w:rsidRPr="00983BC0" w:rsidRDefault="00BD44CC" w:rsidP="00BD44CC">
                      <w:pPr>
                        <w:pStyle w:val="ListParagraph"/>
                        <w:rPr>
                          <w:rFonts w:cs="Arial"/>
                        </w:rPr>
                      </w:pPr>
                      <w:r>
                        <w:rPr>
                          <w:rFonts w:cs="Arial"/>
                        </w:rPr>
                        <w:t>E</w:t>
                      </w:r>
                      <w:r w:rsidRPr="00983BC0">
                        <w:rPr>
                          <w:rFonts w:cs="Arial"/>
                        </w:rPr>
                        <w:t>vidence suggests that people who take Pension Wise guidance feel more confident and have better outcomes than those who do not. However, there is concern about the low take-up of Pension Wise. In a recent Parliamentary debate the Shadow Pensions Minister, Seema Malhotra, stated that only 1 in every 33 people eligible to use Pension Wise do so.</w:t>
                      </w:r>
                      <w:r>
                        <w:rPr>
                          <w:rFonts w:cs="Arial"/>
                        </w:rPr>
                        <w:t xml:space="preserve"> L</w:t>
                      </w:r>
                      <w:r w:rsidRPr="00983BC0">
                        <w:rPr>
                          <w:rFonts w:cs="Arial"/>
                        </w:rPr>
                        <w:t>ess</w:t>
                      </w:r>
                      <w:r>
                        <w:rPr>
                          <w:rFonts w:cs="Arial"/>
                        </w:rPr>
                        <w:t xml:space="preserve"> </w:t>
                      </w:r>
                      <w:r w:rsidRPr="00983BC0">
                        <w:rPr>
                          <w:rFonts w:cs="Arial"/>
                        </w:rPr>
                        <w:t>engaged consumers who opt for income drawdown often accept their own pension provider’s default drawdown product, rather than shopping around. Providing automatic Pension Wise advice sessions before retirement would help consumers to consider the pros and cons of drawdown at that stage, so that they could later look separately at the choice of which product would best meet their needs.</w:t>
                      </w:r>
                      <w:r>
                        <w:rPr>
                          <w:rFonts w:cs="Arial"/>
                        </w:rPr>
                        <w:t xml:space="preserve"> In our GRT report, the IFoA</w:t>
                      </w:r>
                      <w:r w:rsidRPr="00983BC0">
                        <w:rPr>
                          <w:rFonts w:cs="Arial"/>
                        </w:rPr>
                        <w:t xml:space="preserve"> recommend that the Financial Conduct Authority (FCA) should set a specific and ambitious target to achieve a significant increase in take-up by individuals of Pension Wise appointments before accessing their pension</w:t>
                      </w:r>
                      <w:r>
                        <w:rPr>
                          <w:rFonts w:cs="Arial"/>
                        </w:rPr>
                        <w:t>.</w:t>
                      </w:r>
                    </w:p>
                    <w:p w:rsidR="00BD44CC" w:rsidRDefault="00BD44CC" w:rsidP="00BD44CC">
                      <w:pPr>
                        <w:pStyle w:val="ListParagraph"/>
                        <w:ind w:left="0"/>
                        <w:rPr>
                          <w:rFonts w:cs="Arial"/>
                          <w:highlight w:val="yellow"/>
                        </w:rPr>
                      </w:pPr>
                    </w:p>
                    <w:p w:rsidR="00BD44CC" w:rsidRDefault="00BD44CC" w:rsidP="00BD44CC">
                      <w:pPr>
                        <w:pStyle w:val="ListParagraph"/>
                        <w:ind w:left="0"/>
                        <w:rPr>
                          <w:rFonts w:cs="Arial"/>
                        </w:rPr>
                      </w:pPr>
                    </w:p>
                    <w:p w:rsidR="00BD44CC" w:rsidRDefault="00BD44CC" w:rsidP="00BD44CC">
                      <w:pPr>
                        <w:rPr>
                          <w:rFonts w:cs="Arial"/>
                          <w:b/>
                        </w:rPr>
                      </w:pPr>
                    </w:p>
                    <w:p w:rsidR="00BD44CC" w:rsidRPr="00983BC0" w:rsidRDefault="00BD44CC" w:rsidP="00BD44CC">
                      <w:pPr>
                        <w:rPr>
                          <w:rFonts w:cs="Arial"/>
                          <w:b/>
                        </w:rPr>
                      </w:pPr>
                    </w:p>
                  </w:txbxContent>
                </v:textbox>
                <w10:wrap type="square" anchorx="margin"/>
              </v:shape>
            </w:pict>
          </mc:Fallback>
        </mc:AlternateContent>
      </w:r>
    </w:p>
    <w:p w:rsidR="00FB4776" w:rsidRDefault="00FB4776" w:rsidP="008E1B4D">
      <w:pPr>
        <w:rPr>
          <w:rFonts w:cs="Arial"/>
        </w:rPr>
      </w:pPr>
    </w:p>
    <w:p w:rsidR="00FB4776" w:rsidRDefault="00FB4776" w:rsidP="008E1B4D">
      <w:pPr>
        <w:rPr>
          <w:rFonts w:cs="Arial"/>
        </w:rPr>
      </w:pPr>
    </w:p>
    <w:p w:rsidR="00BB7841" w:rsidRPr="00983BC0" w:rsidRDefault="00C04129" w:rsidP="00983BC0">
      <w:pPr>
        <w:spacing w:after="0" w:line="250" w:lineRule="exact"/>
        <w:rPr>
          <w:rFonts w:cs="Arial"/>
        </w:rPr>
      </w:pPr>
      <w:bookmarkStart w:id="0" w:name="_GoBack"/>
      <w:bookmarkEnd w:id="0"/>
      <w:r w:rsidRPr="00FB4776">
        <w:rPr>
          <w:rFonts w:cs="Arial"/>
          <w:noProof/>
          <w:szCs w:val="20"/>
          <w:highlight w:val="yellow"/>
          <w:lang w:eastAsia="en-GB"/>
        </w:rPr>
        <mc:AlternateContent>
          <mc:Choice Requires="wps">
            <w:drawing>
              <wp:anchor distT="0" distB="0" distL="114300" distR="114300" simplePos="0" relativeHeight="251667456" behindDoc="0" locked="0" layoutInCell="1" allowOverlap="1" wp14:anchorId="4640A808" wp14:editId="397B2395">
                <wp:simplePos x="0" y="0"/>
                <wp:positionH relativeFrom="margin">
                  <wp:posOffset>-34290</wp:posOffset>
                </wp:positionH>
                <wp:positionV relativeFrom="paragraph">
                  <wp:posOffset>325120</wp:posOffset>
                </wp:positionV>
                <wp:extent cx="6191885" cy="3181350"/>
                <wp:effectExtent l="19050" t="19050" r="18415" b="19050"/>
                <wp:wrapSquare wrapText="bothSides"/>
                <wp:docPr id="4" name="Text Box 4"/>
                <wp:cNvGraphicFramePr/>
                <a:graphic xmlns:a="http://schemas.openxmlformats.org/drawingml/2006/main">
                  <a:graphicData uri="http://schemas.microsoft.com/office/word/2010/wordprocessingShape">
                    <wps:wsp>
                      <wps:cNvSpPr txBox="1"/>
                      <wps:spPr>
                        <a:xfrm>
                          <a:off x="0" y="0"/>
                          <a:ext cx="6191885" cy="3181350"/>
                        </a:xfrm>
                        <a:prstGeom prst="rect">
                          <a:avLst/>
                        </a:prstGeom>
                        <a:solidFill>
                          <a:sysClr val="window" lastClr="FFFFFF"/>
                        </a:solidFill>
                        <a:ln w="28575">
                          <a:solidFill>
                            <a:schemeClr val="accent2"/>
                          </a:solidFill>
                        </a:ln>
                        <a:effectLst/>
                      </wps:spPr>
                      <wps:txbx>
                        <w:txbxContent>
                          <w:p w:rsidR="00C04129" w:rsidRPr="00983BC0" w:rsidRDefault="00C04129" w:rsidP="00C04129">
                            <w:pPr>
                              <w:rPr>
                                <w:rFonts w:cs="Arial"/>
                                <w:b/>
                              </w:rPr>
                            </w:pPr>
                          </w:p>
                          <w:p w:rsidR="00C04129" w:rsidRPr="00BD44CC" w:rsidRDefault="00C04129" w:rsidP="00C04129">
                            <w:pPr>
                              <w:pStyle w:val="ListParagraph"/>
                              <w:ind w:left="0"/>
                              <w:jc w:val="center"/>
                              <w:rPr>
                                <w:rFonts w:cs="Arial"/>
                                <w:b/>
                              </w:rPr>
                            </w:pPr>
                            <w:r w:rsidRPr="00BD44CC">
                              <w:rPr>
                                <w:rFonts w:cs="Arial"/>
                                <w:b/>
                              </w:rPr>
                              <w:t xml:space="preserve">The </w:t>
                            </w:r>
                            <w:r>
                              <w:rPr>
                                <w:rFonts w:cs="Arial"/>
                                <w:b/>
                              </w:rPr>
                              <w:t xml:space="preserve">IFoA’s </w:t>
                            </w:r>
                            <w:r w:rsidRPr="00BD44CC">
                              <w:rPr>
                                <w:rFonts w:cs="Arial"/>
                                <w:b/>
                              </w:rPr>
                              <w:t>Great Risk Transfer Campaign</w:t>
                            </w:r>
                          </w:p>
                          <w:p w:rsidR="00C04129" w:rsidRDefault="00C04129" w:rsidP="00C04129">
                            <w:pPr>
                              <w:pStyle w:val="ListParagraph"/>
                              <w:ind w:left="0"/>
                              <w:rPr>
                                <w:rFonts w:cs="Arial"/>
                              </w:rPr>
                            </w:pPr>
                          </w:p>
                          <w:p w:rsidR="00C04129" w:rsidRDefault="00C04129" w:rsidP="00C04129">
                            <w:pPr>
                              <w:pStyle w:val="ListParagraph"/>
                              <w:rPr>
                                <w:rFonts w:cs="Arial"/>
                              </w:rPr>
                            </w:pPr>
                            <w:r>
                              <w:rPr>
                                <w:rFonts w:cs="Arial"/>
                              </w:rPr>
                              <w:t xml:space="preserve">The IFoA has identified that over recent decades there has been </w:t>
                            </w:r>
                            <w:r w:rsidDel="00401959">
                              <w:rPr>
                                <w:rFonts w:cs="Arial"/>
                              </w:rPr>
                              <w:t>a trend of the</w:t>
                            </w:r>
                            <w:r w:rsidRPr="00BB7841" w:rsidDel="00401959">
                              <w:rPr>
                                <w:rFonts w:cs="Arial"/>
                              </w:rPr>
                              <w:t xml:space="preserve"> transfer </w:t>
                            </w:r>
                            <w:r w:rsidDel="00401959">
                              <w:rPr>
                                <w:rFonts w:cs="Arial"/>
                              </w:rPr>
                              <w:t xml:space="preserve">of </w:t>
                            </w:r>
                            <w:r w:rsidRPr="00BB7841" w:rsidDel="00401959">
                              <w:rPr>
                                <w:rFonts w:cs="Arial"/>
                              </w:rPr>
                              <w:t>risks from institutions – such as employers, the state and financial services providers – to individuals.</w:t>
                            </w:r>
                            <w:r w:rsidRPr="00401959" w:rsidDel="00401959">
                              <w:rPr>
                                <w:rFonts w:cs="Arial"/>
                              </w:rPr>
                              <w:t xml:space="preserve"> </w:t>
                            </w:r>
                            <w:r w:rsidRPr="00BB7841" w:rsidDel="00401959">
                              <w:rPr>
                                <w:rFonts w:cs="Arial"/>
                              </w:rPr>
                              <w:t xml:space="preserve">Since the start of 2020 the IFoA has been campaigning on what we have termed ‘the </w:t>
                            </w:r>
                            <w:r w:rsidRPr="00FB4776" w:rsidDel="00401959">
                              <w:rPr>
                                <w:rFonts w:cs="Arial"/>
                              </w:rPr>
                              <w:t>Great Risk Transfer’ (GRT)</w:t>
                            </w:r>
                            <w:r w:rsidRPr="00FB4776">
                              <w:rPr>
                                <w:rFonts w:cs="Arial"/>
                              </w:rPr>
                              <w:t>, and the consequences it may have for pension savers</w:t>
                            </w:r>
                          </w:p>
                          <w:p w:rsidR="00C04129" w:rsidRDefault="00C04129" w:rsidP="00C04129">
                            <w:pPr>
                              <w:pStyle w:val="ListParagraph"/>
                              <w:rPr>
                                <w:rFonts w:cs="Arial"/>
                              </w:rPr>
                            </w:pPr>
                          </w:p>
                          <w:p w:rsidR="00C04129" w:rsidRDefault="00C04129" w:rsidP="00C04129">
                            <w:pPr>
                              <w:pStyle w:val="ListParagraph"/>
                              <w:rPr>
                                <w:rFonts w:cs="Arial"/>
                              </w:rPr>
                            </w:pPr>
                            <w:r w:rsidRPr="00BB7841" w:rsidDel="00401959">
                              <w:rPr>
                                <w:rFonts w:cs="Arial"/>
                              </w:rPr>
                              <w:t>Our work suggests that the causes of this trend are complex, covering a variety of factors from increasing longevity to technological advances, the low interest-rate environment and changes in financial regulation.</w:t>
                            </w:r>
                            <w:r w:rsidDel="00401959">
                              <w:rPr>
                                <w:rFonts w:cs="Arial"/>
                              </w:rPr>
                              <w:t xml:space="preserve"> The GRT report</w:t>
                            </w:r>
                            <w:r w:rsidRPr="00BB7841" w:rsidDel="00401959">
                              <w:rPr>
                                <w:rFonts w:cs="Arial"/>
                              </w:rPr>
                              <w:t xml:space="preserve"> has unearthed a number of considerations/recommen</w:t>
                            </w:r>
                            <w:r w:rsidDel="00401959">
                              <w:rPr>
                                <w:rFonts w:cs="Arial"/>
                              </w:rPr>
                              <w:t xml:space="preserve">dations relevant to </w:t>
                            </w:r>
                            <w:r w:rsidRPr="00BB7841" w:rsidDel="00401959">
                              <w:rPr>
                                <w:rFonts w:cs="Arial"/>
                              </w:rPr>
                              <w:t>the Work and Pensions Committee and the current call for evidence on accessing pension savings</w:t>
                            </w:r>
                            <w:r w:rsidDel="00401959">
                              <w:rPr>
                                <w:rFonts w:cs="Arial"/>
                              </w:rPr>
                              <w:t>. P</w:t>
                            </w:r>
                            <w:r w:rsidRPr="0025345D" w:rsidDel="00401959">
                              <w:rPr>
                                <w:rFonts w:cs="Arial"/>
                              </w:rPr>
                              <w:t>rominent examples of the GRT trend include the steady shift from defined benefit (DB) to defined contribution (DC) pensions and from annuities to drawdown.</w:t>
                            </w:r>
                          </w:p>
                          <w:p w:rsidR="00C04129" w:rsidRDefault="00C04129" w:rsidP="00C04129">
                            <w:pPr>
                              <w:pStyle w:val="ListParagraph"/>
                              <w:ind w:left="0"/>
                              <w:rPr>
                                <w:rFonts w:cs="Arial"/>
                              </w:rPr>
                            </w:pPr>
                          </w:p>
                          <w:p w:rsidR="00C04129" w:rsidDel="00401959" w:rsidRDefault="00C04129" w:rsidP="00C04129">
                            <w:pPr>
                              <w:pStyle w:val="ListParagraph"/>
                              <w:rPr>
                                <w:rFonts w:cs="Arial"/>
                              </w:rPr>
                            </w:pPr>
                            <w:r w:rsidDel="00401959">
                              <w:rPr>
                                <w:rFonts w:cs="Arial"/>
                              </w:rPr>
                              <w:t xml:space="preserve">For more information on the GRT campaign and recommendations see </w:t>
                            </w:r>
                            <w:hyperlink r:id="rId12" w:history="1">
                              <w:r w:rsidRPr="0025345D" w:rsidDel="00401959">
                                <w:rPr>
                                  <w:rStyle w:val="Hyperlink"/>
                                  <w:rFonts w:cs="Arial"/>
                                </w:rPr>
                                <w:t>here</w:t>
                              </w:r>
                            </w:hyperlink>
                            <w:r w:rsidDel="00401959">
                              <w:rPr>
                                <w:rFonts w:cs="Arial"/>
                              </w:rPr>
                              <w:t>.</w:t>
                            </w:r>
                          </w:p>
                          <w:p w:rsidR="00C04129" w:rsidRDefault="00C04129" w:rsidP="00C04129">
                            <w:pPr>
                              <w:rPr>
                                <w:rFonts w:cs="Arial"/>
                                <w:b/>
                              </w:rPr>
                            </w:pPr>
                          </w:p>
                          <w:p w:rsidR="00C04129" w:rsidRPr="00983BC0" w:rsidRDefault="00C04129" w:rsidP="00C04129">
                            <w:pPr>
                              <w:rPr>
                                <w:rFonts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0A808" id="Text Box 4" o:spid="_x0000_s1029" type="#_x0000_t202" style="position:absolute;margin-left:-2.7pt;margin-top:25.6pt;width:487.55pt;height:2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lSYgIAAM0EAAAOAAAAZHJzL2Uyb0RvYy54bWysVMlu2zAQvRfoPxC8N7K8JI4ROXATuCgQ&#10;JAGcIGeaomwBFIclaUvu1/eRXrL1VNQHejYOZ9680dV112i2Vc7XZAqen/U4U0ZSWZtVwZ+f5t/G&#10;nPkgTCk0GVXwnfL8evr1y1VrJ6pPa9KlcgxJjJ+0tuDrEOwky7xcq0b4M7LKwFmRa0SA6lZZ6USL&#10;7I3O+r3eedaSK60jqbyH9Xbv5NOUv6qUDA9V5VVguuCoLaTTpXMZz2x6JSYrJ+y6locyxD9U0Yja&#10;4NFTqlsRBNu4+lOqppaOPFXhTFKTUVXVUqUe0E3e+9DNYi2sSr0AHG9PMPn/l1bebx8dq8uCDzkz&#10;osGInlQX2Hfq2DCi01o/QdDCIix0MGPKR7uHMTbdVa6J/2iHwQ+cdydsYzIJ43l+mY/HI84kfIN8&#10;nA9GCf3s9bp1PvxQ1LAoFNxheAlTsb3zAaUg9BgSX/Ok63Jea52Unb/Rjm0F5gx6lNRypoUPMBZ8&#10;nn6xaqR4d00b1ha8Px5djNJT75yJhOqUVkipTOh/ToOk2sQiVCLcodgI3B6gKIVu2SWYB0fwllTu&#10;gKmjPSe9lfMafd+h6EfhQELAiMUKDzgqTSiTDhJna3K//2aP8eAGvJy1IHXB/a+NcApY/DRgzWU+&#10;HMYtSMpwdNGH4t56lm89ZtPcEPDMscJWJjHGB30UK0fNC/ZvFl+FSxiJtwsejuJN2K8a9leq2SwF&#10;gfdWhDuzsDKmjrjFqT51L8LZw+gDWHNPR/qLyQcG7GPjTUOzTaCqTvSIOO9RxaCjgp1JIz/sd1zK&#10;t3qKev0KTf8AAAD//wMAUEsDBBQABgAIAAAAIQBxpX784QAAAAkBAAAPAAAAZHJzL2Rvd25yZXYu&#10;eG1sTI/BTsMwEETvSPyDtUjcWicRKU2IU6EiBAeKRNtLb268JBHxOo2dNvw9ywmOszOaeVusJtuJ&#10;Mw6+daQgnkcgkCpnWqoV7HfPsyUIHzQZ3TlCBd/oYVVeXxU6N+5CH3jehlpwCflcK2hC6HMpfdWg&#10;1X7ueiT2Pt1gdWA51NIM+sLltpNJFC2k1S3xQqN7XDdYfW1Hq2D5sn91T6fDIep28Xoc3zf92ylT&#10;6vZmenwAEXAKf2H4xWd0KJnp6EYyXnQKZukdJxWkcQKC/WyR3YM48iFNEpBlIf9/UP4AAAD//wMA&#10;UEsBAi0AFAAGAAgAAAAhALaDOJL+AAAA4QEAABMAAAAAAAAAAAAAAAAAAAAAAFtDb250ZW50X1R5&#10;cGVzXS54bWxQSwECLQAUAAYACAAAACEAOP0h/9YAAACUAQAACwAAAAAAAAAAAAAAAAAvAQAAX3Jl&#10;bHMvLnJlbHNQSwECLQAUAAYACAAAACEARC1JUmICAADNBAAADgAAAAAAAAAAAAAAAAAuAgAAZHJz&#10;L2Uyb0RvYy54bWxQSwECLQAUAAYACAAAACEAcaV+/OEAAAAJAQAADwAAAAAAAAAAAAAAAAC8BAAA&#10;ZHJzL2Rvd25yZXYueG1sUEsFBgAAAAAEAAQA8wAAAMoFAAAAAA==&#10;" fillcolor="window" strokecolor="#113458 [3205]" strokeweight="2.25pt">
                <v:textbox>
                  <w:txbxContent>
                    <w:p w:rsidR="00C04129" w:rsidRPr="00983BC0" w:rsidRDefault="00C04129" w:rsidP="00C04129">
                      <w:pPr>
                        <w:rPr>
                          <w:rFonts w:cs="Arial"/>
                          <w:b/>
                        </w:rPr>
                      </w:pPr>
                    </w:p>
                    <w:p w:rsidR="00C04129" w:rsidRPr="00BD44CC" w:rsidRDefault="00C04129" w:rsidP="00C04129">
                      <w:pPr>
                        <w:pStyle w:val="ListParagraph"/>
                        <w:ind w:left="0"/>
                        <w:jc w:val="center"/>
                        <w:rPr>
                          <w:rFonts w:cs="Arial"/>
                          <w:b/>
                        </w:rPr>
                      </w:pPr>
                      <w:r w:rsidRPr="00BD44CC">
                        <w:rPr>
                          <w:rFonts w:cs="Arial"/>
                          <w:b/>
                        </w:rPr>
                        <w:t xml:space="preserve">The </w:t>
                      </w:r>
                      <w:r>
                        <w:rPr>
                          <w:rFonts w:cs="Arial"/>
                          <w:b/>
                        </w:rPr>
                        <w:t xml:space="preserve">IFoA’s </w:t>
                      </w:r>
                      <w:r w:rsidRPr="00BD44CC">
                        <w:rPr>
                          <w:rFonts w:cs="Arial"/>
                          <w:b/>
                        </w:rPr>
                        <w:t>Great Risk Transfer Campaign</w:t>
                      </w:r>
                    </w:p>
                    <w:p w:rsidR="00C04129" w:rsidRDefault="00C04129" w:rsidP="00C04129">
                      <w:pPr>
                        <w:pStyle w:val="ListParagraph"/>
                        <w:ind w:left="0"/>
                        <w:rPr>
                          <w:rFonts w:cs="Arial"/>
                        </w:rPr>
                      </w:pPr>
                    </w:p>
                    <w:p w:rsidR="00C04129" w:rsidRDefault="00C04129" w:rsidP="00C04129">
                      <w:pPr>
                        <w:pStyle w:val="ListParagraph"/>
                        <w:rPr>
                          <w:rFonts w:cs="Arial"/>
                        </w:rPr>
                      </w:pPr>
                      <w:r>
                        <w:rPr>
                          <w:rFonts w:cs="Arial"/>
                        </w:rPr>
                        <w:t xml:space="preserve">The IFoA has identified that over recent decades there has been </w:t>
                      </w:r>
                      <w:r w:rsidDel="00401959">
                        <w:rPr>
                          <w:rFonts w:cs="Arial"/>
                        </w:rPr>
                        <w:t>a trend of the</w:t>
                      </w:r>
                      <w:r w:rsidRPr="00BB7841" w:rsidDel="00401959">
                        <w:rPr>
                          <w:rFonts w:cs="Arial"/>
                        </w:rPr>
                        <w:t xml:space="preserve"> transfer </w:t>
                      </w:r>
                      <w:r w:rsidDel="00401959">
                        <w:rPr>
                          <w:rFonts w:cs="Arial"/>
                        </w:rPr>
                        <w:t xml:space="preserve">of </w:t>
                      </w:r>
                      <w:r w:rsidRPr="00BB7841" w:rsidDel="00401959">
                        <w:rPr>
                          <w:rFonts w:cs="Arial"/>
                        </w:rPr>
                        <w:t>risks from institutions – such as employers, the state and financial services providers – to individuals.</w:t>
                      </w:r>
                      <w:r w:rsidRPr="00401959" w:rsidDel="00401959">
                        <w:rPr>
                          <w:rFonts w:cs="Arial"/>
                        </w:rPr>
                        <w:t xml:space="preserve"> </w:t>
                      </w:r>
                      <w:r w:rsidRPr="00BB7841" w:rsidDel="00401959">
                        <w:rPr>
                          <w:rFonts w:cs="Arial"/>
                        </w:rPr>
                        <w:t xml:space="preserve">Since the start of 2020 the IFoA has been campaigning on what we have termed ‘the </w:t>
                      </w:r>
                      <w:r w:rsidRPr="00FB4776" w:rsidDel="00401959">
                        <w:rPr>
                          <w:rFonts w:cs="Arial"/>
                        </w:rPr>
                        <w:t>Great Risk Transfer’ (GRT)</w:t>
                      </w:r>
                      <w:r w:rsidRPr="00FB4776">
                        <w:rPr>
                          <w:rFonts w:cs="Arial"/>
                        </w:rPr>
                        <w:t>, and the consequences it may have for pension savers</w:t>
                      </w:r>
                    </w:p>
                    <w:p w:rsidR="00C04129" w:rsidRDefault="00C04129" w:rsidP="00C04129">
                      <w:pPr>
                        <w:pStyle w:val="ListParagraph"/>
                        <w:rPr>
                          <w:rFonts w:cs="Arial"/>
                        </w:rPr>
                      </w:pPr>
                    </w:p>
                    <w:p w:rsidR="00C04129" w:rsidRDefault="00C04129" w:rsidP="00C04129">
                      <w:pPr>
                        <w:pStyle w:val="ListParagraph"/>
                        <w:rPr>
                          <w:rFonts w:cs="Arial"/>
                        </w:rPr>
                      </w:pPr>
                      <w:r w:rsidRPr="00BB7841" w:rsidDel="00401959">
                        <w:rPr>
                          <w:rFonts w:cs="Arial"/>
                        </w:rPr>
                        <w:t>Our work suggests that the causes of this trend are complex, covering a variety of factors from increasing longevity to technological advances, the low interest-rate environment and changes in financial regulation.</w:t>
                      </w:r>
                      <w:r w:rsidDel="00401959">
                        <w:rPr>
                          <w:rFonts w:cs="Arial"/>
                        </w:rPr>
                        <w:t xml:space="preserve"> The GRT report</w:t>
                      </w:r>
                      <w:r w:rsidRPr="00BB7841" w:rsidDel="00401959">
                        <w:rPr>
                          <w:rFonts w:cs="Arial"/>
                        </w:rPr>
                        <w:t xml:space="preserve"> has unearthed a number of considerations/recommen</w:t>
                      </w:r>
                      <w:r w:rsidDel="00401959">
                        <w:rPr>
                          <w:rFonts w:cs="Arial"/>
                        </w:rPr>
                        <w:t xml:space="preserve">dations relevant to </w:t>
                      </w:r>
                      <w:r w:rsidRPr="00BB7841" w:rsidDel="00401959">
                        <w:rPr>
                          <w:rFonts w:cs="Arial"/>
                        </w:rPr>
                        <w:t>the Work and Pensions Committee and the current call for evidence on accessing pension savings</w:t>
                      </w:r>
                      <w:r w:rsidDel="00401959">
                        <w:rPr>
                          <w:rFonts w:cs="Arial"/>
                        </w:rPr>
                        <w:t>. P</w:t>
                      </w:r>
                      <w:r w:rsidRPr="0025345D" w:rsidDel="00401959">
                        <w:rPr>
                          <w:rFonts w:cs="Arial"/>
                        </w:rPr>
                        <w:t>rominent examples of the GRT trend include the steady shift from defined benefit (DB) to defined contribution (DC) pensions and from annuities to drawdown.</w:t>
                      </w:r>
                    </w:p>
                    <w:p w:rsidR="00C04129" w:rsidRDefault="00C04129" w:rsidP="00C04129">
                      <w:pPr>
                        <w:pStyle w:val="ListParagraph"/>
                        <w:ind w:left="0"/>
                        <w:rPr>
                          <w:rFonts w:cs="Arial"/>
                        </w:rPr>
                      </w:pPr>
                    </w:p>
                    <w:p w:rsidR="00C04129" w:rsidDel="00401959" w:rsidRDefault="00C04129" w:rsidP="00C04129">
                      <w:pPr>
                        <w:pStyle w:val="ListParagraph"/>
                        <w:rPr>
                          <w:rFonts w:cs="Arial"/>
                        </w:rPr>
                      </w:pPr>
                      <w:r w:rsidDel="00401959">
                        <w:rPr>
                          <w:rFonts w:cs="Arial"/>
                        </w:rPr>
                        <w:t xml:space="preserve">For more information on the GRT campaign and recommendations see </w:t>
                      </w:r>
                      <w:hyperlink r:id="rId13" w:history="1">
                        <w:r w:rsidRPr="0025345D" w:rsidDel="00401959">
                          <w:rPr>
                            <w:rStyle w:val="Hyperlink"/>
                            <w:rFonts w:cs="Arial"/>
                          </w:rPr>
                          <w:t>here</w:t>
                        </w:r>
                      </w:hyperlink>
                      <w:r w:rsidDel="00401959">
                        <w:rPr>
                          <w:rFonts w:cs="Arial"/>
                        </w:rPr>
                        <w:t>.</w:t>
                      </w:r>
                    </w:p>
                    <w:p w:rsidR="00C04129" w:rsidRDefault="00C04129" w:rsidP="00C04129">
                      <w:pPr>
                        <w:rPr>
                          <w:rFonts w:cs="Arial"/>
                          <w:b/>
                        </w:rPr>
                      </w:pPr>
                    </w:p>
                    <w:p w:rsidR="00C04129" w:rsidRPr="00983BC0" w:rsidRDefault="00C04129" w:rsidP="00C04129">
                      <w:pPr>
                        <w:rPr>
                          <w:rFonts w:cs="Arial"/>
                          <w:b/>
                        </w:rPr>
                      </w:pPr>
                    </w:p>
                  </w:txbxContent>
                </v:textbox>
                <w10:wrap type="square" anchorx="margin"/>
              </v:shape>
            </w:pict>
          </mc:Fallback>
        </mc:AlternateContent>
      </w:r>
    </w:p>
    <w:sectPr w:rsidR="00BB7841" w:rsidRPr="00983BC0" w:rsidSect="00990DEA">
      <w:headerReference w:type="even" r:id="rId14"/>
      <w:headerReference w:type="default" r:id="rId15"/>
      <w:footerReference w:type="even" r:id="rId16"/>
      <w:footerReference w:type="default" r:id="rId17"/>
      <w:headerReference w:type="first" r:id="rId18"/>
      <w:footerReference w:type="first" r:id="rId19"/>
      <w:pgSz w:w="11906" w:h="16838"/>
      <w:pgMar w:top="1440" w:right="1134" w:bottom="1440" w:left="1134" w:header="85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256" w:rsidRDefault="005E1256" w:rsidP="00B652E6">
      <w:pPr>
        <w:spacing w:after="0" w:line="240" w:lineRule="auto"/>
      </w:pPr>
      <w:r>
        <w:separator/>
      </w:r>
    </w:p>
  </w:endnote>
  <w:endnote w:type="continuationSeparator" w:id="0">
    <w:p w:rsidR="005E1256" w:rsidRDefault="005E1256" w:rsidP="00B6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36F" w:rsidRDefault="00584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2E6" w:rsidRDefault="009C6C32">
    <w:pPr>
      <w:pStyle w:val="Footer"/>
    </w:pPr>
    <w:r>
      <w:rPr>
        <w:noProof/>
        <w:lang w:eastAsia="en-GB"/>
      </w:rPr>
      <mc:AlternateContent>
        <mc:Choice Requires="wps">
          <w:drawing>
            <wp:anchor distT="0" distB="0" distL="114300" distR="114300" simplePos="0" relativeHeight="251697152" behindDoc="0" locked="0" layoutInCell="1" allowOverlap="1" wp14:anchorId="6DBCFF15" wp14:editId="0692C64A">
              <wp:simplePos x="0" y="0"/>
              <wp:positionH relativeFrom="column">
                <wp:posOffset>0</wp:posOffset>
              </wp:positionH>
              <wp:positionV relativeFrom="paragraph">
                <wp:posOffset>74930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D140A" id="Straight Connector 1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pt" to="48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IjwgEAANYDAAAOAAAAZHJzL2Uyb0RvYy54bWysU02P0zAQvSPxHyzfqZOK3UVR0z10BRcE&#10;FQs/wOuMG0v+0tg06b9n7LbZFSAhEBfH45k3897MZHM/O8uOgMkE3/N21XAGXoXB+EPPv319/+Yd&#10;ZylLP0gbPPT8BInfb1+/2kyxg3UYgx0AGSXxqZtiz8ecYydEUiM4mVYhgienDuhkJhMPYkA5UXZn&#10;xbppbsUUcIgYFKRErw9nJ9/W/FqDyp+1TpCZ7Tlxy/XEej6VU2w3sjugjKNRFxryH1g4aTwVXVI9&#10;yCzZdzS/pHJGYUhB55UKTgStjYKqgdS0zU9qHkcZoWqh5qS4tCn9v7Tq03GPzAw0uzVnXjqa0WNG&#10;aQ5jZrvgPXUwICMndWqKqSPAzu/xYqW4xyJ71ujKlwSxuXb3tHQX5swUPd6267c3dzecqatPPAMj&#10;pvwBgmPl0nNrfBEuO3n8mDIVo9BrSHm2nk2F8l1TRygKszOXessnC+ewL6BJHVVva7q6V7CzyI6S&#10;NkIqBT63RRsVsJ6iC0wbaxdg82fgJb5Aoe7c34AXRK0cfF7AzviAv6ue5ytlfY4n+i90l+tTGE51&#10;StVBy1MVXha9bOdLu8Kff8ftDwAAAP//AwBQSwMEFAAGAAgAAAAhACQ09/DaAAAABgEAAA8AAABk&#10;cnMvZG93bnJldi54bWxMj8FOwzAQRO9I/IO1SNyoUwSFpnEqhASIExAqVb1t4yWJaq9D7Lbh71nE&#10;AY47s5p5UyxH79SBhtgFNjCdZKCI62A7bgys3h8ubkHFhGzRBSYDXxRhWZ6eFJjbcOQ3OlSpURLC&#10;MUcDbUp9rnWsW/IYJ6EnFu8jDB6TnEOj7YBHCfdOX2bZTHvsWBpa7Om+pXpX7b2UPN088+qV5l32&#10;6V7iBte7x2ptzPnZeLcAlWhMf8/wgy/oUArTNuzZRuUMyJAk6lT4xZ3Prq5BbX8FXRb6P375DQAA&#10;//8DAFBLAQItABQABgAIAAAAIQC2gziS/gAAAOEBAAATAAAAAAAAAAAAAAAAAAAAAABbQ29udGVu&#10;dF9UeXBlc10ueG1sUEsBAi0AFAAGAAgAAAAhADj9If/WAAAAlAEAAAsAAAAAAAAAAAAAAAAALwEA&#10;AF9yZWxzLy5yZWxzUEsBAi0AFAAGAAgAAAAhAHE18iPCAQAA1gMAAA4AAAAAAAAAAAAAAAAALgIA&#10;AGRycy9lMm9Eb2MueG1sUEsBAi0AFAAGAAgAAAAhACQ09/DaAAAABgEAAA8AAAAAAAAAAAAAAAAA&#10;HAQAAGRycy9kb3ducmV2LnhtbFBLBQYAAAAABAAEAPMAAAAjBQAAAAA=&#10;" strokecolor="#cda115 [3044]" strokeweight="1pt"/>
          </w:pict>
        </mc:Fallback>
      </mc:AlternateContent>
    </w:r>
    <w:r>
      <w:rPr>
        <w:noProof/>
        <w:lang w:eastAsia="en-GB"/>
      </w:rPr>
      <mc:AlternateContent>
        <mc:Choice Requires="wps">
          <w:drawing>
            <wp:anchor distT="0" distB="0" distL="114300" distR="114300" simplePos="0" relativeHeight="251698176" behindDoc="0" locked="0" layoutInCell="1" allowOverlap="1">
              <wp:simplePos x="0" y="0"/>
              <wp:positionH relativeFrom="column">
                <wp:posOffset>4680585</wp:posOffset>
              </wp:positionH>
              <wp:positionV relativeFrom="paragraph">
                <wp:posOffset>133985</wp:posOffset>
              </wp:positionV>
              <wp:extent cx="1447800"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47800" cy="247650"/>
                      </a:xfrm>
                      <a:prstGeom prst="rect">
                        <a:avLst/>
                      </a:prstGeom>
                      <a:solidFill>
                        <a:schemeClr val="lt1"/>
                      </a:solidFill>
                      <a:ln w="6350">
                        <a:noFill/>
                      </a:ln>
                    </wps:spPr>
                    <wps:txbx>
                      <w:txbxContent>
                        <w:p w:rsidR="009C6C32" w:rsidRPr="009C6C32" w:rsidRDefault="009C6C32" w:rsidP="009C6C32">
                          <w:pPr>
                            <w:jc w:val="right"/>
                            <w:rPr>
                              <w:b/>
                              <w:bCs/>
                              <w:color w:val="D9AB16" w:themeColor="accent1"/>
                            </w:rPr>
                          </w:pPr>
                          <w:r w:rsidRPr="009C6C32">
                            <w:rPr>
                              <w:rFonts w:cs="Arial"/>
                              <w:b/>
                              <w:bCs/>
                              <w:color w:val="D9AB16" w:themeColor="accent1"/>
                              <w:sz w:val="16"/>
                              <w:szCs w:val="16"/>
                            </w:rPr>
                            <w:t>www.actuaries.org.uk</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30" type="#_x0000_t202" style="position:absolute;margin-left:368.55pt;margin-top:10.55pt;width:114pt;height:1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7fPAIAAHMEAAAOAAAAZHJzL2Uyb0RvYy54bWysVMlu2zAQvRfoPxC813IcZ4EQOXAduChg&#10;JAGcImeaomwBFIclaUvu1/eRsrK1p6IXajgznOW9Gd3cdo1mB+V8TabgZ6MxZ8pIKmuzLfiPp+WX&#10;a858EKYUmowq+FF5fjv7/Ommtbma0I50qRxDEOPz1hZ8F4LNs8zLnWqEH5FVBsaKXCMCrm6blU60&#10;iN7obDIeX2YtudI6ksp7aO96I5+l+FWlZHioKq8C0wVHbSGdLp2beGazG5FvnbC7Wp7KEP9QRSNq&#10;g6Qvoe5EEGzv6j9CNbV05KkKI0lNRlVVS5V6QDdn4w/drHfCqtQLwPH2BSb//8LK+8OjY3UJ7s45&#10;M6IBR0+qC+wrdQwq4NNan8NtbeEYOujhO+g9lLHtrnJN/KIhBjuQPr6gG6PJ+Gg6vboewyRhm0yv&#10;Li8S/Nnra+t8+KaoYVEouAN7CVRxWPmASuA6uMRknnRdLmut0yVOjFpoxw4CXOuQasSLd17asLbg&#10;l+dIHR8Zis/7yNogQey17ylKodt0JwA2VB7Rv6N+gryVyxpFroQPj8JhZNAX1iA84Kg0IQmdJM52&#10;5H79TR/9wSSsnLUYwYL7n3vhFGf6uwHHcV6TML24muDiBu3mrdbsmwWh4zMsmpVJjL5BD2LlqHnG&#10;lsxjNpiEkchZ8DCIi9AvBLZMqvk8OWE6rQgrs7Yyho5gReifumfh7ImfAGbvaRhSkX+gqfftYZ7v&#10;A1V14jAC26N5whuTnag9bWFcnbf35PX6r5j9BgAA//8DAFBLAwQUAAYACAAAACEA4U9GId8AAAAJ&#10;AQAADwAAAGRycy9kb3ducmV2LnhtbEyPwU7DMAyG70i8Q2QkbixtJ9rR1Z0YEjdAMNi0Y9Z4bUWT&#10;VE3WdW+POcHJtvzp9+diNZlOjDT41lmEeBaBIFs53doa4evz+W4BwgdlteqcJYQLeViV11eFyrU7&#10;2w8aN6EWHGJ9rhCaEPpcSl81ZJSfuZ4s745uMCrwONRSD+rM4aaTSRSl0qjW8oVG9fTUUPW9ORmE&#10;/e6SzN/G7frdb4+ZWrsFve5fEG9vpscliEBT+IPhV5/VoWSngztZ7UWHkM2zmFGEJObKwEN6z80B&#10;IY1ikGUh/39Q/gAAAP//AwBQSwECLQAUAAYACAAAACEAtoM4kv4AAADhAQAAEwAAAAAAAAAAAAAA&#10;AAAAAAAAW0NvbnRlbnRfVHlwZXNdLnhtbFBLAQItABQABgAIAAAAIQA4/SH/1gAAAJQBAAALAAAA&#10;AAAAAAAAAAAAAC8BAABfcmVscy8ucmVsc1BLAQItABQABgAIAAAAIQBeP67fPAIAAHMEAAAOAAAA&#10;AAAAAAAAAAAAAC4CAABkcnMvZTJvRG9jLnhtbFBLAQItABQABgAIAAAAIQDhT0Yh3wAAAAkBAAAP&#10;AAAAAAAAAAAAAAAAAJYEAABkcnMvZG93bnJldi54bWxQSwUGAAAAAAQABADzAAAAogUAAAAA&#10;" fillcolor="white [3201]" stroked="f" strokeweight=".5pt">
              <v:textbox inset="0,,0">
                <w:txbxContent>
                  <w:p w:rsidR="009C6C32" w:rsidRPr="009C6C32" w:rsidRDefault="009C6C32" w:rsidP="009C6C32">
                    <w:pPr>
                      <w:jc w:val="right"/>
                      <w:rPr>
                        <w:b/>
                        <w:bCs/>
                        <w:color w:val="D9AB16" w:themeColor="accent1"/>
                      </w:rPr>
                    </w:pPr>
                    <w:r w:rsidRPr="009C6C32">
                      <w:rPr>
                        <w:rFonts w:cs="Arial"/>
                        <w:b/>
                        <w:bCs/>
                        <w:color w:val="D9AB16" w:themeColor="accent1"/>
                        <w:sz w:val="16"/>
                        <w:szCs w:val="16"/>
                      </w:rPr>
                      <w:t>www.actuaries.org.uk</w:t>
                    </w:r>
                  </w:p>
                </w:txbxContent>
              </v:textbox>
            </v:shape>
          </w:pict>
        </mc:Fallback>
      </mc:AlternateContent>
    </w:r>
  </w:p>
  <w:p w:rsidR="00B652E6" w:rsidRPr="009C6C32" w:rsidRDefault="00734464" w:rsidP="009C6C32">
    <w:pPr>
      <w:rPr>
        <w:rFonts w:cs="Arial"/>
        <w:sz w:val="18"/>
        <w:szCs w:val="18"/>
      </w:rPr>
    </w:pPr>
    <w:r w:rsidRPr="009C6C32">
      <w:rPr>
        <w:rFonts w:cs="Arial"/>
        <w:sz w:val="18"/>
        <w:szCs w:val="18"/>
      </w:rPr>
      <w:fldChar w:fldCharType="begin"/>
    </w:r>
    <w:r w:rsidRPr="009C6C32">
      <w:rPr>
        <w:rFonts w:cs="Arial"/>
        <w:sz w:val="18"/>
        <w:szCs w:val="18"/>
      </w:rPr>
      <w:instrText xml:space="preserve"> PAGE   \* MERGEFORMAT </w:instrText>
    </w:r>
    <w:r w:rsidRPr="009C6C32">
      <w:rPr>
        <w:rFonts w:cs="Arial"/>
        <w:sz w:val="18"/>
        <w:szCs w:val="18"/>
      </w:rPr>
      <w:fldChar w:fldCharType="separate"/>
    </w:r>
    <w:r w:rsidR="0098594B">
      <w:rPr>
        <w:rFonts w:cs="Arial"/>
        <w:noProof/>
        <w:sz w:val="18"/>
        <w:szCs w:val="18"/>
      </w:rPr>
      <w:t>2</w:t>
    </w:r>
    <w:r w:rsidRPr="009C6C32">
      <w:rPr>
        <w:rFonts w:cs="Arial"/>
        <w:noProof/>
        <w:sz w:val="18"/>
        <w:szCs w:val="18"/>
      </w:rPr>
      <w:fldChar w:fldCharType="end"/>
    </w:r>
    <w:r w:rsidR="002F15BC" w:rsidRPr="009C6C32">
      <w:rPr>
        <w:rFonts w:cs="Arial"/>
        <w:sz w:val="18"/>
        <w:szCs w:val="18"/>
      </w:rPr>
      <w:tab/>
    </w:r>
    <w:r w:rsidR="002F15BC" w:rsidRPr="009C6C32">
      <w:rPr>
        <w:rFonts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DEA" w:rsidRDefault="00990DEA">
    <w:pPr>
      <w:pStyle w:val="Footer"/>
    </w:pPr>
    <w:r>
      <w:rPr>
        <w:noProof/>
        <w:lang w:eastAsia="en-GB"/>
      </w:rPr>
      <mc:AlternateContent>
        <mc:Choice Requires="wps">
          <w:drawing>
            <wp:anchor distT="0" distB="0" distL="114300" distR="114300" simplePos="0" relativeHeight="251700224" behindDoc="0" locked="1" layoutInCell="1" allowOverlap="1" wp14:anchorId="31EF4D44" wp14:editId="4473EC9D">
              <wp:simplePos x="0" y="0"/>
              <wp:positionH relativeFrom="column">
                <wp:posOffset>-12065</wp:posOffset>
              </wp:positionH>
              <wp:positionV relativeFrom="page">
                <wp:posOffset>9163050</wp:posOffset>
              </wp:positionV>
              <wp:extent cx="612468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6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2D234" id="Straight Connector 14"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5pt,721.5pt" to="481.3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7SwgEAANYDAAAOAAAAZHJzL2Uyb0RvYy54bWysU01v2zAMvQ/YfxB0X2wHRVYYcXpI0V2K&#10;LVi3H6DKVCxAX6DU2Pn3o5TELdYCxYZeZFHkI98j6fXNZA07AEbtXcebRc0ZOOl77fYd//3r7ss1&#10;ZzEJ1wvjHXT8CJHfbD5/Wo+hhaUfvOkBGSVxsR1Dx4eUQltVUQ5gRVz4AI6cyqMViUzcVz2KkbJb&#10;Uy3relWNHvuAXkKM9Hp7cvJNya8UyPRDqQiJmY4Tt1ROLOdjPqvNWrR7FGHQ8kxD/AcLK7SjonOq&#10;W5EEe0L9KpXVEn30Ki2kt5VXSksoGkhNU/+l5mEQAYoWak4Mc5vix6WV3w87ZLqn2V1x5oSlGT0k&#10;FHo/JLb1zlEHPTJyUqfGEFsCbN0Oz1YMO8yyJ4U2f0kQm0p3j3N3YUpM0uOqWV6trmkI8uKrnoEB&#10;Y/oG3rJ86bjRLgsXrTjcx0TFKPQSkp+NYyNRXn6tywirzOzEpdzS0cAp7CcoUkfVm5Ku7BVsDbKD&#10;oI0QUoJLTdZGBYyj6AxT2pgZWL8PPMdnKJSd+xfwjCiVvUsz2Grn8a3qabpQVqd4ov9Cd74++v5Y&#10;plQctDxF4XnR83a+tAv8+Xfc/AEAAP//AwBQSwMEFAAGAAgAAAAhAF9Y/kXeAAAADAEAAA8AAABk&#10;cnMvZG93bnJldi54bWxMj01Lw0AQhu+C/2EZwVu7aS2xidkUEVQ8WWOh9LbNjkno7mzMbtv47x0P&#10;osd55+H9KFajs+KEQ+g8KZhNExBItTcdNQo274+TJYgQNRltPaGCLwywKi8vCp0bf6Y3PFWxEWxC&#10;IdcK2hj7XMpQt+h0mPoeiX8ffnA68jk00gz6zObOynmSpNLpjjih1T0+tFgfqqPjkOfbF9qsMeuS&#10;T/sadnp7eKq2Sl1fjfd3ICKO8Q+Gn/pcHUrutPdHMkFYBZNZxiTri8UNj2IiS+cpiP2vJMtC/h9R&#10;fgMAAP//AwBQSwECLQAUAAYACAAAACEAtoM4kv4AAADhAQAAEwAAAAAAAAAAAAAAAAAAAAAAW0Nv&#10;bnRlbnRfVHlwZXNdLnhtbFBLAQItABQABgAIAAAAIQA4/SH/1gAAAJQBAAALAAAAAAAAAAAAAAAA&#10;AC8BAABfcmVscy8ucmVsc1BLAQItABQABgAIAAAAIQDe6H7SwgEAANYDAAAOAAAAAAAAAAAAAAAA&#10;AC4CAABkcnMvZTJvRG9jLnhtbFBLAQItABQABgAIAAAAIQBfWP5F3gAAAAwBAAAPAAAAAAAAAAAA&#10;AAAAABwEAABkcnMvZG93bnJldi54bWxQSwUGAAAAAAQABADzAAAAJwUAAAAA&#10;" strokecolor="#cda115 [3044]" strokeweight="1pt">
              <w10:wrap anchory="page"/>
              <w10:anchorlock/>
            </v:line>
          </w:pict>
        </mc:Fallback>
      </mc:AlternateContent>
    </w:r>
  </w:p>
  <w:p w:rsidR="00990DEA" w:rsidRDefault="00990DEA">
    <w:pPr>
      <w:pStyle w:val="Footer"/>
    </w:pPr>
    <w:r>
      <w:rPr>
        <w:noProof/>
        <w:lang w:eastAsia="en-GB"/>
      </w:rPr>
      <mc:AlternateContent>
        <mc:Choice Requires="wps">
          <w:drawing>
            <wp:anchor distT="0" distB="0" distL="114300" distR="114300" simplePos="0" relativeHeight="251703296" behindDoc="0" locked="1" layoutInCell="1" allowOverlap="1" wp14:anchorId="004D579C" wp14:editId="3226AABA">
              <wp:simplePos x="0" y="0"/>
              <wp:positionH relativeFrom="column">
                <wp:posOffset>-5715</wp:posOffset>
              </wp:positionH>
              <wp:positionV relativeFrom="page">
                <wp:posOffset>9219565</wp:posOffset>
              </wp:positionV>
              <wp:extent cx="6114960" cy="831240"/>
              <wp:effectExtent l="0" t="0" r="635" b="6985"/>
              <wp:wrapNone/>
              <wp:docPr id="1" name="Text Box 1"/>
              <wp:cNvGraphicFramePr/>
              <a:graphic xmlns:a="http://schemas.openxmlformats.org/drawingml/2006/main">
                <a:graphicData uri="http://schemas.microsoft.com/office/word/2010/wordprocessingShape">
                  <wps:wsp>
                    <wps:cNvSpPr txBox="1"/>
                    <wps:spPr>
                      <a:xfrm>
                        <a:off x="0" y="0"/>
                        <a:ext cx="6114960" cy="831240"/>
                      </a:xfrm>
                      <a:prstGeom prst="rect">
                        <a:avLst/>
                      </a:prstGeom>
                      <a:noFill/>
                      <a:ln w="6350">
                        <a:noFill/>
                      </a:ln>
                    </wps:spPr>
                    <wps:txbx>
                      <w:txbxContent>
                        <w:p w:rsidR="00990DEA" w:rsidRPr="002F15BC" w:rsidRDefault="00990DEA"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Beijing</w:t>
                          </w:r>
                          <w:r w:rsidRPr="002F15BC">
                            <w:rPr>
                              <w:rFonts w:cs="Arial"/>
                              <w:sz w:val="15"/>
                              <w:szCs w:val="15"/>
                            </w:rPr>
                            <w:t xml:space="preserve"> </w:t>
                          </w:r>
                          <w:r w:rsidRPr="002F15BC">
                            <w:rPr>
                              <w:rFonts w:cs="Arial"/>
                              <w:sz w:val="15"/>
                              <w:szCs w:val="15"/>
                            </w:rPr>
                            <w:tab/>
                          </w:r>
                          <w:r w:rsidRPr="009D752A">
                            <w:rPr>
                              <w:rFonts w:cs="Arial"/>
                              <w:sz w:val="15"/>
                              <w:szCs w:val="15"/>
                            </w:rPr>
                            <w:t xml:space="preserve">14F China World Office 1 · 1 </w:t>
                          </w:r>
                          <w:proofErr w:type="spellStart"/>
                          <w:r w:rsidRPr="009D752A">
                            <w:rPr>
                              <w:rFonts w:cs="Arial"/>
                              <w:sz w:val="15"/>
                              <w:szCs w:val="15"/>
                            </w:rPr>
                            <w:t>Jianwai</w:t>
                          </w:r>
                          <w:proofErr w:type="spellEnd"/>
                          <w:r w:rsidRPr="009D752A">
                            <w:rPr>
                              <w:rFonts w:cs="Arial"/>
                              <w:sz w:val="15"/>
                              <w:szCs w:val="15"/>
                            </w:rPr>
                            <w:t xml:space="preserve"> Avenue · Beijing · China 100004 · </w:t>
                          </w:r>
                          <w:r w:rsidRPr="009D752A">
                            <w:rPr>
                              <w:rFonts w:cs="Arial"/>
                              <w:b/>
                              <w:bCs/>
                              <w:sz w:val="15"/>
                              <w:szCs w:val="15"/>
                            </w:rPr>
                            <w:t>Tel</w:t>
                          </w:r>
                          <w:r w:rsidRPr="009D752A">
                            <w:rPr>
                              <w:rFonts w:cs="Arial"/>
                              <w:sz w:val="15"/>
                              <w:szCs w:val="15"/>
                            </w:rPr>
                            <w:t>: +86 (10) 6535 0248</w:t>
                          </w:r>
                        </w:p>
                        <w:p w:rsidR="00990DEA" w:rsidRPr="002F15BC" w:rsidRDefault="00990DEA"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Edinburgh</w:t>
                          </w:r>
                          <w:r w:rsidRPr="002F15BC">
                            <w:rPr>
                              <w:rFonts w:cs="Arial"/>
                              <w:sz w:val="15"/>
                              <w:szCs w:val="15"/>
                            </w:rPr>
                            <w:tab/>
                          </w:r>
                          <w:r w:rsidRPr="009D752A">
                            <w:rPr>
                              <w:rFonts w:cs="Arial"/>
                              <w:sz w:val="15"/>
                              <w:szCs w:val="15"/>
                            </w:rPr>
                            <w:t xml:space="preserve">Level 2 · Exchange Crescent · 7 Conference Square · Edinburgh · EH3 8RA · </w:t>
                          </w:r>
                          <w:r w:rsidRPr="009D752A">
                            <w:rPr>
                              <w:rFonts w:cs="Arial"/>
                              <w:b/>
                              <w:bCs/>
                              <w:sz w:val="15"/>
                              <w:szCs w:val="15"/>
                            </w:rPr>
                            <w:t>Tel</w:t>
                          </w:r>
                          <w:r w:rsidRPr="009D752A">
                            <w:rPr>
                              <w:rFonts w:cs="Arial"/>
                              <w:sz w:val="15"/>
                              <w:szCs w:val="15"/>
                            </w:rPr>
                            <w:t>: +44 (0) 131 240 1300</w:t>
                          </w:r>
                        </w:p>
                        <w:p w:rsidR="00990DEA" w:rsidRPr="002F15BC" w:rsidRDefault="00990DEA"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Hong Kong</w:t>
                          </w:r>
                          <w:r w:rsidRPr="002F15BC">
                            <w:rPr>
                              <w:rFonts w:cs="Arial"/>
                              <w:color w:val="D9AB16" w:themeColor="accent1"/>
                              <w:sz w:val="15"/>
                              <w:szCs w:val="15"/>
                            </w:rPr>
                            <w:t xml:space="preserve"> </w:t>
                          </w:r>
                          <w:r w:rsidRPr="002F15BC">
                            <w:rPr>
                              <w:rFonts w:cs="Arial"/>
                              <w:sz w:val="15"/>
                              <w:szCs w:val="15"/>
                            </w:rPr>
                            <w:tab/>
                          </w:r>
                          <w:r w:rsidRPr="009D752A">
                            <w:rPr>
                              <w:rFonts w:cs="Arial"/>
                              <w:sz w:val="15"/>
                              <w:szCs w:val="15"/>
                            </w:rPr>
                            <w:t xml:space="preserve">1803 Tower One · Lippo Centre · 89 Queensway · Hong Kong · </w:t>
                          </w:r>
                          <w:r w:rsidRPr="009D752A">
                            <w:rPr>
                              <w:rFonts w:cs="Arial"/>
                              <w:b/>
                              <w:bCs/>
                              <w:sz w:val="15"/>
                              <w:szCs w:val="15"/>
                            </w:rPr>
                            <w:t xml:space="preserve">Tel: </w:t>
                          </w:r>
                          <w:r w:rsidRPr="009D752A">
                            <w:rPr>
                              <w:rFonts w:cs="Arial"/>
                              <w:sz w:val="15"/>
                              <w:szCs w:val="15"/>
                            </w:rPr>
                            <w:t>+852 2147 9418</w:t>
                          </w:r>
                          <w:r w:rsidRPr="002F15BC">
                            <w:rPr>
                              <w:rFonts w:cs="Arial"/>
                              <w:color w:val="002060" w:themeColor="text2"/>
                              <w:sz w:val="15"/>
                              <w:szCs w:val="15"/>
                            </w:rPr>
                            <w:t xml:space="preserve"> </w:t>
                          </w:r>
                        </w:p>
                        <w:p w:rsidR="00990DEA" w:rsidRPr="002F15BC" w:rsidRDefault="00990DEA"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London</w:t>
                          </w:r>
                          <w:r w:rsidRPr="002F15BC">
                            <w:rPr>
                              <w:rFonts w:cs="Arial"/>
                              <w:color w:val="D9AB16" w:themeColor="accent1"/>
                              <w:sz w:val="15"/>
                              <w:szCs w:val="15"/>
                            </w:rPr>
                            <w:t xml:space="preserve"> (registered office)</w:t>
                          </w:r>
                          <w:r w:rsidRPr="002F15BC">
                            <w:rPr>
                              <w:rFonts w:cs="Arial"/>
                              <w:sz w:val="15"/>
                              <w:szCs w:val="15"/>
                            </w:rPr>
                            <w:t xml:space="preserve"> </w:t>
                          </w:r>
                          <w:r w:rsidRPr="002F15BC">
                            <w:rPr>
                              <w:rFonts w:cs="Arial"/>
                              <w:color w:val="002060" w:themeColor="text2"/>
                              <w:sz w:val="15"/>
                              <w:szCs w:val="15"/>
                            </w:rPr>
                            <w:tab/>
                          </w:r>
                          <w:r w:rsidRPr="009D752A">
                            <w:rPr>
                              <w:rFonts w:cs="Arial"/>
                              <w:sz w:val="15"/>
                              <w:szCs w:val="15"/>
                            </w:rPr>
                            <w:t xml:space="preserve">7th Floor · Holborn Gate · 326-330 High Holborn · London · WC1V 7PP · </w:t>
                          </w:r>
                          <w:r w:rsidRPr="009D752A">
                            <w:rPr>
                              <w:rFonts w:cs="Arial"/>
                              <w:b/>
                              <w:bCs/>
                              <w:sz w:val="15"/>
                              <w:szCs w:val="15"/>
                            </w:rPr>
                            <w:t>Tel</w:t>
                          </w:r>
                          <w:r w:rsidRPr="009D752A">
                            <w:rPr>
                              <w:rFonts w:cs="Arial"/>
                              <w:sz w:val="15"/>
                              <w:szCs w:val="15"/>
                            </w:rPr>
                            <w:t>: +44 (0) 20 7632 2100</w:t>
                          </w:r>
                        </w:p>
                        <w:p w:rsidR="00990DEA" w:rsidRPr="002F15BC" w:rsidRDefault="00990DEA"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Oxford</w:t>
                          </w:r>
                          <w:r w:rsidRPr="002F15BC">
                            <w:rPr>
                              <w:rFonts w:cs="Arial"/>
                              <w:sz w:val="15"/>
                              <w:szCs w:val="15"/>
                            </w:rPr>
                            <w:t xml:space="preserve"> </w:t>
                          </w:r>
                          <w:r w:rsidRPr="002F15BC">
                            <w:rPr>
                              <w:rFonts w:cs="Arial"/>
                              <w:sz w:val="15"/>
                              <w:szCs w:val="15"/>
                            </w:rPr>
                            <w:tab/>
                          </w:r>
                          <w:r w:rsidRPr="009D752A">
                            <w:rPr>
                              <w:rFonts w:cs="Arial"/>
                              <w:sz w:val="15"/>
                              <w:szCs w:val="15"/>
                            </w:rPr>
                            <w:t xml:space="preserve">1st Floor · Park Central · 40/41 Park End Street · Oxford · OX1 1JD · </w:t>
                          </w:r>
                          <w:r w:rsidRPr="009D752A">
                            <w:rPr>
                              <w:rFonts w:cs="Arial"/>
                              <w:b/>
                              <w:bCs/>
                              <w:sz w:val="15"/>
                              <w:szCs w:val="15"/>
                            </w:rPr>
                            <w:t>Tel</w:t>
                          </w:r>
                          <w:r w:rsidRPr="009D752A">
                            <w:rPr>
                              <w:rFonts w:cs="Arial"/>
                              <w:sz w:val="15"/>
                              <w:szCs w:val="15"/>
                            </w:rPr>
                            <w:t>: +44 (0) 1865 268 200</w:t>
                          </w:r>
                        </w:p>
                        <w:p w:rsidR="00990DEA" w:rsidRPr="00990DEA" w:rsidRDefault="00990DEA" w:rsidP="0055074F">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Singapore</w:t>
                          </w:r>
                          <w:r w:rsidRPr="002F15BC">
                            <w:rPr>
                              <w:rFonts w:cs="Arial"/>
                              <w:sz w:val="15"/>
                              <w:szCs w:val="15"/>
                            </w:rPr>
                            <w:t xml:space="preserve"> </w:t>
                          </w:r>
                          <w:r w:rsidRPr="002F15BC">
                            <w:rPr>
                              <w:rFonts w:cs="Arial"/>
                              <w:sz w:val="15"/>
                              <w:szCs w:val="15"/>
                            </w:rPr>
                            <w:tab/>
                          </w:r>
                          <w:r w:rsidRPr="009D752A">
                            <w:rPr>
                              <w:rFonts w:cs="Arial"/>
                              <w:sz w:val="15"/>
                              <w:szCs w:val="15"/>
                            </w:rPr>
                            <w:t xml:space="preserve">163 </w:t>
                          </w:r>
                          <w:proofErr w:type="spellStart"/>
                          <w:r w:rsidRPr="009D752A">
                            <w:rPr>
                              <w:rFonts w:cs="Arial"/>
                              <w:sz w:val="15"/>
                              <w:szCs w:val="15"/>
                            </w:rPr>
                            <w:t>Tras</w:t>
                          </w:r>
                          <w:proofErr w:type="spellEnd"/>
                          <w:r w:rsidRPr="009D752A">
                            <w:rPr>
                              <w:rFonts w:cs="Arial"/>
                              <w:sz w:val="15"/>
                              <w:szCs w:val="15"/>
                            </w:rPr>
                            <w:t xml:space="preserve"> Street · #07-05 </w:t>
                          </w:r>
                          <w:proofErr w:type="spellStart"/>
                          <w:r w:rsidRPr="009D752A">
                            <w:rPr>
                              <w:rFonts w:cs="Arial"/>
                              <w:sz w:val="15"/>
                              <w:szCs w:val="15"/>
                            </w:rPr>
                            <w:t>Lian</w:t>
                          </w:r>
                          <w:proofErr w:type="spellEnd"/>
                          <w:r w:rsidRPr="009D752A">
                            <w:rPr>
                              <w:rFonts w:cs="Arial"/>
                              <w:sz w:val="15"/>
                              <w:szCs w:val="15"/>
                            </w:rPr>
                            <w:t xml:space="preserve"> </w:t>
                          </w:r>
                          <w:proofErr w:type="spellStart"/>
                          <w:r w:rsidRPr="009D752A">
                            <w:rPr>
                              <w:rFonts w:cs="Arial"/>
                              <w:sz w:val="15"/>
                              <w:szCs w:val="15"/>
                            </w:rPr>
                            <w:t>Huat</w:t>
                          </w:r>
                          <w:proofErr w:type="spellEnd"/>
                          <w:r w:rsidRPr="009D752A">
                            <w:rPr>
                              <w:rFonts w:cs="Arial"/>
                              <w:sz w:val="15"/>
                              <w:szCs w:val="15"/>
                            </w:rPr>
                            <w:t xml:space="preserve"> Building · Singapore 079024 · </w:t>
                          </w:r>
                          <w:r w:rsidRPr="009D752A">
                            <w:rPr>
                              <w:rFonts w:cs="Arial"/>
                              <w:b/>
                              <w:bCs/>
                              <w:sz w:val="15"/>
                              <w:szCs w:val="15"/>
                            </w:rPr>
                            <w:t>Tel</w:t>
                          </w:r>
                          <w:r w:rsidRPr="009D752A">
                            <w:rPr>
                              <w:rFonts w:cs="Arial"/>
                              <w:sz w:val="15"/>
                              <w:szCs w:val="15"/>
                            </w:rPr>
                            <w:t>: +65 6906 0889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4D579C" id="_x0000_t202" coordsize="21600,21600" o:spt="202" path="m,l,21600r21600,l21600,xe">
              <v:stroke joinstyle="miter"/>
              <v:path gradientshapeok="t" o:connecttype="rect"/>
            </v:shapetype>
            <v:shape id="Text Box 1" o:spid="_x0000_s1034" type="#_x0000_t202" style="position:absolute;margin-left:-.45pt;margin-top:725.95pt;width:481.5pt;height:6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NHKgIAAFAEAAAOAAAAZHJzL2Uyb0RvYy54bWysVF1r2zAUfR/sPwi9L47TNOtMnJK1ZAxK&#10;W0hGnxVZjg3WxyQldvbrdyTbaen2NPYiX93ve86Vl7edbMhJWFdrldN0MqVEKK6LWh1y+mO3+XRD&#10;ifNMFazRSuT0LBy9XX38sGxNJma60k0hLEES5bLW5LTy3mRJ4nglJHMTbYSCsdRWMo+rPSSFZS2y&#10;yyaZTaeLpNW2MFZz4Ry0972RrmL+shTcP5WlE540OUVvPp42nvtwJqslyw6WmarmQxvsH7qQrFYo&#10;ekl1zzwjR1v/kUrW3GqnSz/hWia6LGsu4gyYJp2+m2ZbMSPiLADHmQtM7v+l5Y+nZ0vqAtxRopgE&#10;RTvRefJVdyQN6LTGZXDaGrj5DurgOegdlGHorrQyfDEOgR04ny/YhmQcykWazr8sYOKw3Vyls3kE&#10;P3mNNtb5b0JLEoScWnAXIWWnB+dREa6jSyim9KZumshfo0iLClfX0xhwsSCiUQgMM/S9Bsl3+y5O&#10;PB/n2OvijPGs7tfDGb6p0cMDc/6ZWewD2saO+yccZaNRSw8SJZW2v/6mD/6gCVZKWuxXTt3PI7OC&#10;kua7AoFhGaMwv/48w8WO2v1brTrKO43VBTnoKorB1zejWFotX/AE1qEaTExx1MypH8U73287nhAX&#10;63V0wuoZ5h/U1vCQOqAZkN11L8yaAX4P4h71uIEse8dC7xsinVkfPbiIFAV8ezQH2LG2kbnhiYV3&#10;8fYevV5/BKvfAAAA//8DAFBLAwQUAAYACAAAACEAPgt1kt4AAAALAQAADwAAAGRycy9kb3ducmV2&#10;LnhtbEyPzU7DMBCE70i8g7VI3FonEa3SEKdC/FwrKDyAGy9JILaDfxLTp2c5wW13ZjT7bb1PemQz&#10;Oj9YIyBfZ8DQtFYNphPw9vq0KoH5II2SozUo4Bs97JvLi1pWyi7mBedj6BiVGF9JAX0IU8W5b3vU&#10;0q/thIa8d+u0DLS6jisnFyrXIy+ybMu1HAxd6OWE9z22n8eoBTzPqg2xWB7Oh+wrxfPj4cOlKMT1&#10;Vbq7BRYwhb8w/OITOjTEdLLRKM9GAasdBUm+2eQ0UWC3LXJgJ5I2ZVECb2r+/4fmBwAA//8DAFBL&#10;AQItABQABgAIAAAAIQC2gziS/gAAAOEBAAATAAAAAAAAAAAAAAAAAAAAAABbQ29udGVudF9UeXBl&#10;c10ueG1sUEsBAi0AFAAGAAgAAAAhADj9If/WAAAAlAEAAAsAAAAAAAAAAAAAAAAALwEAAF9yZWxz&#10;Ly5yZWxzUEsBAi0AFAAGAAgAAAAhAGKNE0cqAgAAUAQAAA4AAAAAAAAAAAAAAAAALgIAAGRycy9l&#10;Mm9Eb2MueG1sUEsBAi0AFAAGAAgAAAAhAD4LdZLeAAAACwEAAA8AAAAAAAAAAAAAAAAAhAQAAGRy&#10;cy9kb3ducmV2LnhtbFBLBQYAAAAABAAEAPMAAACPBQAAAAA=&#10;" filled="f" stroked="f" strokeweight=".5pt">
              <v:textbox style="mso-fit-shape-to-text:t" inset="0,,0">
                <w:txbxContent>
                  <w:p w:rsidR="00990DEA" w:rsidRPr="002F15BC" w:rsidRDefault="00990DEA"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Beijing</w:t>
                    </w:r>
                    <w:r w:rsidRPr="002F15BC">
                      <w:rPr>
                        <w:rFonts w:cs="Arial"/>
                        <w:sz w:val="15"/>
                        <w:szCs w:val="15"/>
                      </w:rPr>
                      <w:t xml:space="preserve"> </w:t>
                    </w:r>
                    <w:r w:rsidRPr="002F15BC">
                      <w:rPr>
                        <w:rFonts w:cs="Arial"/>
                        <w:sz w:val="15"/>
                        <w:szCs w:val="15"/>
                      </w:rPr>
                      <w:tab/>
                    </w:r>
                    <w:r w:rsidRPr="009D752A">
                      <w:rPr>
                        <w:rFonts w:cs="Arial"/>
                        <w:sz w:val="15"/>
                        <w:szCs w:val="15"/>
                      </w:rPr>
                      <w:t xml:space="preserve">14F China World Office 1 · 1 Jianwai Avenue · Beijing · China 100004 · </w:t>
                    </w:r>
                    <w:r w:rsidRPr="009D752A">
                      <w:rPr>
                        <w:rFonts w:cs="Arial"/>
                        <w:b/>
                        <w:bCs/>
                        <w:sz w:val="15"/>
                        <w:szCs w:val="15"/>
                      </w:rPr>
                      <w:t>Tel</w:t>
                    </w:r>
                    <w:r w:rsidRPr="009D752A">
                      <w:rPr>
                        <w:rFonts w:cs="Arial"/>
                        <w:sz w:val="15"/>
                        <w:szCs w:val="15"/>
                      </w:rPr>
                      <w:t>: +86 (10) 6535 0248</w:t>
                    </w:r>
                  </w:p>
                  <w:p w:rsidR="00990DEA" w:rsidRPr="002F15BC" w:rsidRDefault="00990DEA"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Edinburgh</w:t>
                    </w:r>
                    <w:r w:rsidRPr="002F15BC">
                      <w:rPr>
                        <w:rFonts w:cs="Arial"/>
                        <w:sz w:val="15"/>
                        <w:szCs w:val="15"/>
                      </w:rPr>
                      <w:tab/>
                    </w:r>
                    <w:r w:rsidRPr="009D752A">
                      <w:rPr>
                        <w:rFonts w:cs="Arial"/>
                        <w:sz w:val="15"/>
                        <w:szCs w:val="15"/>
                      </w:rPr>
                      <w:t xml:space="preserve">Level 2 · Exchange Crescent · 7 Conference Square · Edinburgh · EH3 8RA · </w:t>
                    </w:r>
                    <w:r w:rsidRPr="009D752A">
                      <w:rPr>
                        <w:rFonts w:cs="Arial"/>
                        <w:b/>
                        <w:bCs/>
                        <w:sz w:val="15"/>
                        <w:szCs w:val="15"/>
                      </w:rPr>
                      <w:t>Tel</w:t>
                    </w:r>
                    <w:r w:rsidRPr="009D752A">
                      <w:rPr>
                        <w:rFonts w:cs="Arial"/>
                        <w:sz w:val="15"/>
                        <w:szCs w:val="15"/>
                      </w:rPr>
                      <w:t>: +44 (0) 131 240 1300</w:t>
                    </w:r>
                  </w:p>
                  <w:p w:rsidR="00990DEA" w:rsidRPr="002F15BC" w:rsidRDefault="00990DEA"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Hong Kong</w:t>
                    </w:r>
                    <w:r w:rsidRPr="002F15BC">
                      <w:rPr>
                        <w:rFonts w:cs="Arial"/>
                        <w:color w:val="D9AB16" w:themeColor="accent1"/>
                        <w:sz w:val="15"/>
                        <w:szCs w:val="15"/>
                      </w:rPr>
                      <w:t xml:space="preserve"> </w:t>
                    </w:r>
                    <w:r w:rsidRPr="002F15BC">
                      <w:rPr>
                        <w:rFonts w:cs="Arial"/>
                        <w:sz w:val="15"/>
                        <w:szCs w:val="15"/>
                      </w:rPr>
                      <w:tab/>
                    </w:r>
                    <w:r w:rsidRPr="009D752A">
                      <w:rPr>
                        <w:rFonts w:cs="Arial"/>
                        <w:sz w:val="15"/>
                        <w:szCs w:val="15"/>
                      </w:rPr>
                      <w:t xml:space="preserve">1803 Tower One · Lippo Centre · 89 Queensway · Hong Kong · </w:t>
                    </w:r>
                    <w:r w:rsidRPr="009D752A">
                      <w:rPr>
                        <w:rFonts w:cs="Arial"/>
                        <w:b/>
                        <w:bCs/>
                        <w:sz w:val="15"/>
                        <w:szCs w:val="15"/>
                      </w:rPr>
                      <w:t xml:space="preserve">Tel: </w:t>
                    </w:r>
                    <w:r w:rsidRPr="009D752A">
                      <w:rPr>
                        <w:rFonts w:cs="Arial"/>
                        <w:sz w:val="15"/>
                        <w:szCs w:val="15"/>
                      </w:rPr>
                      <w:t>+852 2147 9418</w:t>
                    </w:r>
                    <w:r w:rsidRPr="002F15BC">
                      <w:rPr>
                        <w:rFonts w:cs="Arial"/>
                        <w:color w:val="002060" w:themeColor="text2"/>
                        <w:sz w:val="15"/>
                        <w:szCs w:val="15"/>
                      </w:rPr>
                      <w:t xml:space="preserve"> </w:t>
                    </w:r>
                  </w:p>
                  <w:p w:rsidR="00990DEA" w:rsidRPr="002F15BC" w:rsidRDefault="00990DEA"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London</w:t>
                    </w:r>
                    <w:r w:rsidRPr="002F15BC">
                      <w:rPr>
                        <w:rFonts w:cs="Arial"/>
                        <w:color w:val="D9AB16" w:themeColor="accent1"/>
                        <w:sz w:val="15"/>
                        <w:szCs w:val="15"/>
                      </w:rPr>
                      <w:t xml:space="preserve"> (registered office)</w:t>
                    </w:r>
                    <w:r w:rsidRPr="002F15BC">
                      <w:rPr>
                        <w:rFonts w:cs="Arial"/>
                        <w:sz w:val="15"/>
                        <w:szCs w:val="15"/>
                      </w:rPr>
                      <w:t xml:space="preserve"> </w:t>
                    </w:r>
                    <w:r w:rsidRPr="002F15BC">
                      <w:rPr>
                        <w:rFonts w:cs="Arial"/>
                        <w:color w:val="002060" w:themeColor="text2"/>
                        <w:sz w:val="15"/>
                        <w:szCs w:val="15"/>
                      </w:rPr>
                      <w:tab/>
                    </w:r>
                    <w:r w:rsidRPr="009D752A">
                      <w:rPr>
                        <w:rFonts w:cs="Arial"/>
                        <w:sz w:val="15"/>
                        <w:szCs w:val="15"/>
                      </w:rPr>
                      <w:t xml:space="preserve">7th Floor · Holborn Gate · 326-330 High Holborn · London · WC1V 7PP · </w:t>
                    </w:r>
                    <w:r w:rsidRPr="009D752A">
                      <w:rPr>
                        <w:rFonts w:cs="Arial"/>
                        <w:b/>
                        <w:bCs/>
                        <w:sz w:val="15"/>
                        <w:szCs w:val="15"/>
                      </w:rPr>
                      <w:t>Tel</w:t>
                    </w:r>
                    <w:r w:rsidRPr="009D752A">
                      <w:rPr>
                        <w:rFonts w:cs="Arial"/>
                        <w:sz w:val="15"/>
                        <w:szCs w:val="15"/>
                      </w:rPr>
                      <w:t>: +44 (0) 20 7632 2100</w:t>
                    </w:r>
                  </w:p>
                  <w:p w:rsidR="00990DEA" w:rsidRPr="002F15BC" w:rsidRDefault="00990DEA"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Oxford</w:t>
                    </w:r>
                    <w:r w:rsidRPr="002F15BC">
                      <w:rPr>
                        <w:rFonts w:cs="Arial"/>
                        <w:sz w:val="15"/>
                        <w:szCs w:val="15"/>
                      </w:rPr>
                      <w:t xml:space="preserve"> </w:t>
                    </w:r>
                    <w:r w:rsidRPr="002F15BC">
                      <w:rPr>
                        <w:rFonts w:cs="Arial"/>
                        <w:sz w:val="15"/>
                        <w:szCs w:val="15"/>
                      </w:rPr>
                      <w:tab/>
                    </w:r>
                    <w:r w:rsidRPr="009D752A">
                      <w:rPr>
                        <w:rFonts w:cs="Arial"/>
                        <w:sz w:val="15"/>
                        <w:szCs w:val="15"/>
                      </w:rPr>
                      <w:t xml:space="preserve">1st Floor · Park Central · 40/41 Park End Street · Oxford · OX1 1JD · </w:t>
                    </w:r>
                    <w:r w:rsidRPr="009D752A">
                      <w:rPr>
                        <w:rFonts w:cs="Arial"/>
                        <w:b/>
                        <w:bCs/>
                        <w:sz w:val="15"/>
                        <w:szCs w:val="15"/>
                      </w:rPr>
                      <w:t>Tel</w:t>
                    </w:r>
                    <w:r w:rsidRPr="009D752A">
                      <w:rPr>
                        <w:rFonts w:cs="Arial"/>
                        <w:sz w:val="15"/>
                        <w:szCs w:val="15"/>
                      </w:rPr>
                      <w:t>: +44 (0) 1865 268 200</w:t>
                    </w:r>
                  </w:p>
                  <w:p w:rsidR="00990DEA" w:rsidRPr="00990DEA" w:rsidRDefault="00990DEA" w:rsidP="0055074F">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Singapore</w:t>
                    </w:r>
                    <w:r w:rsidRPr="002F15BC">
                      <w:rPr>
                        <w:rFonts w:cs="Arial"/>
                        <w:sz w:val="15"/>
                        <w:szCs w:val="15"/>
                      </w:rPr>
                      <w:t xml:space="preserve"> </w:t>
                    </w:r>
                    <w:r w:rsidRPr="002F15BC">
                      <w:rPr>
                        <w:rFonts w:cs="Arial"/>
                        <w:sz w:val="15"/>
                        <w:szCs w:val="15"/>
                      </w:rPr>
                      <w:tab/>
                    </w:r>
                    <w:r w:rsidRPr="009D752A">
                      <w:rPr>
                        <w:rFonts w:cs="Arial"/>
                        <w:sz w:val="15"/>
                        <w:szCs w:val="15"/>
                      </w:rPr>
                      <w:t xml:space="preserve">163 Tras Street · #07-05 Lian Huat Building · Singapore 079024 · </w:t>
                    </w:r>
                    <w:r w:rsidRPr="009D752A">
                      <w:rPr>
                        <w:rFonts w:cs="Arial"/>
                        <w:b/>
                        <w:bCs/>
                        <w:sz w:val="15"/>
                        <w:szCs w:val="15"/>
                      </w:rPr>
                      <w:t>Tel</w:t>
                    </w:r>
                    <w:r w:rsidRPr="009D752A">
                      <w:rPr>
                        <w:rFonts w:cs="Arial"/>
                        <w:sz w:val="15"/>
                        <w:szCs w:val="15"/>
                      </w:rPr>
                      <w:t>: +65 6906 0889</w:t>
                    </w:r>
                  </w:p>
                </w:txbxContent>
              </v:textbox>
              <w10:wrap anchory="page"/>
              <w10:anchorlock/>
            </v:shape>
          </w:pict>
        </mc:Fallback>
      </mc:AlternateContent>
    </w:r>
  </w:p>
  <w:p w:rsidR="00990DEA" w:rsidRDefault="00990DEA">
    <w:pPr>
      <w:pStyle w:val="Footer"/>
    </w:pPr>
  </w:p>
  <w:p w:rsidR="00990DEA" w:rsidRDefault="00990DEA">
    <w:pPr>
      <w:pStyle w:val="Footer"/>
    </w:pPr>
  </w:p>
  <w:p w:rsidR="00990DEA" w:rsidRDefault="00990DEA">
    <w:pPr>
      <w:pStyle w:val="Footer"/>
    </w:pPr>
  </w:p>
  <w:p w:rsidR="00990DEA" w:rsidRDefault="00990DEA">
    <w:pPr>
      <w:pStyle w:val="Footer"/>
    </w:pPr>
  </w:p>
  <w:p w:rsidR="009B6834" w:rsidRDefault="009B6834">
    <w:pPr>
      <w:pStyle w:val="Footer"/>
    </w:pPr>
  </w:p>
  <w:p w:rsidR="002F15BC" w:rsidRDefault="00990DEA" w:rsidP="002F15BC">
    <w:pPr>
      <w:pStyle w:val="Footer"/>
      <w:tabs>
        <w:tab w:val="left" w:pos="1985"/>
        <w:tab w:val="left" w:pos="4513"/>
      </w:tabs>
      <w:spacing w:after="20"/>
      <w:rPr>
        <w:rFonts w:cs="Arial"/>
        <w:color w:val="002060" w:themeColor="text2"/>
        <w:sz w:val="15"/>
        <w:szCs w:val="15"/>
      </w:rPr>
    </w:pPr>
    <w:r>
      <w:rPr>
        <w:noProof/>
        <w:lang w:eastAsia="en-GB"/>
      </w:rPr>
      <mc:AlternateContent>
        <mc:Choice Requires="wps">
          <w:drawing>
            <wp:anchor distT="0" distB="0" distL="114300" distR="114300" simplePos="0" relativeHeight="251695104" behindDoc="0" locked="0" layoutInCell="1" allowOverlap="1" wp14:anchorId="208CFB35" wp14:editId="5B8DE902">
              <wp:simplePos x="0" y="0"/>
              <wp:positionH relativeFrom="column">
                <wp:posOffset>-15240</wp:posOffset>
              </wp:positionH>
              <wp:positionV relativeFrom="paragraph">
                <wp:posOffset>25400</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8AC1E" id="Straight Connector 1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pt" to="481.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4XwgEAANYDAAAOAAAAZHJzL2Uyb0RvYy54bWysU02P0zAQvSPxHyzfqZOK3UVR0z10BRcE&#10;FQs/wOuMG0v+0tg06b9n7LbZFSAhEBfH9sx78954srmfnWVHwGSC73m7ajgDr8Jg/KHn376+f/OO&#10;s5SlH6QNHnp+gsTvt69fbabYwTqMwQ6AjEh86qbY8zHn2AmR1AhOplWI4CmoAzqZ6YgHMaCciN1Z&#10;sW6aWzEFHCIGBSnR7cM5yLeVX2tQ+bPWCTKzPSdtua5Y16eyiu1GdgeUcTTqIkP+gwonjaeiC9WD&#10;zJJ9R/MLlTMKQwo6r1RwImhtFFQP5KZtfnLzOMoI1Qs1J8WlTen/0apPxz0yM9DbUXu8dPRGjxml&#10;OYyZ7YL31MGAjILUqSmmjgA7v8fLKcU9FtuzRle+ZIjNtbunpbswZ6bo8rZdv725u+FMXWPiGRgx&#10;5Q8QHCubnlvji3HZyePHlKkYpV5TyrX1bCLJ67umChNF2VlL3eWThXPaF9Dkjqq3la7OFewssqOk&#10;iZBKgc9t8UYFrKfsAtPG2gXY/Bl4yS9QqDP3N+AFUSsHnxewMz7g76rn+SpZn/NJ/gvfZfsUhlN9&#10;pRqg4akOL4NepvPlucKff8ftDwAAAP//AwBQSwMEFAAGAAgAAAAhACdSW2fbAAAABgEAAA8AAABk&#10;cnMvZG93bnJldi54bWxMj0FLw0AUhO+C/2F5grd201CqjdkUEVQ8qbFQvL1mn0lo9m3Mbtv47/vs&#10;RY/DDDPf5KvRdepAQ2g9G5hNE1DElbct1wbWH4+TW1AhIlvsPJOBHwqwKi4vcsysP/I7HcpYKynh&#10;kKGBJsY+0zpUDTkMU98Ti/flB4dR5FBrO+BRyl2n0yRZaIcty0KDPT00VO3KvZOR55sXXr/Rsk2+&#10;u9fwiZvdU7kx5vpqvL8DFWmMf2H4xRd0KIRp6/dsg+oMTNK5JA3M5ZHYy0U6A7U9a13k+j9+cQIA&#10;AP//AwBQSwECLQAUAAYACAAAACEAtoM4kv4AAADhAQAAEwAAAAAAAAAAAAAAAAAAAAAAW0NvbnRl&#10;bnRfVHlwZXNdLnhtbFBLAQItABQABgAIAAAAIQA4/SH/1gAAAJQBAAALAAAAAAAAAAAAAAAAAC8B&#10;AABfcmVscy8ucmVsc1BLAQItABQABgAIAAAAIQClL04XwgEAANYDAAAOAAAAAAAAAAAAAAAAAC4C&#10;AABkcnMvZTJvRG9jLnhtbFBLAQItABQABgAIAAAAIQAnUltn2wAAAAYBAAAPAAAAAAAAAAAAAAAA&#10;ABwEAABkcnMvZG93bnJldi54bWxQSwUGAAAAAAQABADzAAAAJAUAAAAA&#10;" strokecolor="#cda115 [3044]" strokeweight="1pt"/>
          </w:pict>
        </mc:Fallback>
      </mc:AlternateContent>
    </w:r>
  </w:p>
  <w:p w:rsidR="002F15BC" w:rsidRPr="002F15BC" w:rsidRDefault="002F15BC" w:rsidP="002F15BC">
    <w:pPr>
      <w:pStyle w:val="Footer"/>
      <w:tabs>
        <w:tab w:val="left" w:pos="1985"/>
        <w:tab w:val="left" w:pos="4513"/>
      </w:tabs>
      <w:spacing w:after="20"/>
      <w:jc w:val="right"/>
      <w:rPr>
        <w:rFonts w:cs="Arial"/>
        <w:b/>
        <w:bCs/>
        <w:color w:val="D9AB16" w:themeColor="accent1"/>
        <w:sz w:val="16"/>
        <w:szCs w:val="16"/>
      </w:rPr>
    </w:pPr>
    <w:r w:rsidRPr="002F15BC">
      <w:rPr>
        <w:rFonts w:cs="Arial"/>
        <w:b/>
        <w:bCs/>
        <w:color w:val="D9AB16" w:themeColor="accent1"/>
        <w:sz w:val="16"/>
        <w:szCs w:val="16"/>
      </w:rPr>
      <w:t>www.actuaries.org.uk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256" w:rsidRDefault="005E1256" w:rsidP="00B652E6">
      <w:pPr>
        <w:spacing w:after="0" w:line="240" w:lineRule="auto"/>
      </w:pPr>
      <w:r>
        <w:separator/>
      </w:r>
    </w:p>
  </w:footnote>
  <w:footnote w:type="continuationSeparator" w:id="0">
    <w:p w:rsidR="005E1256" w:rsidRDefault="005E1256" w:rsidP="00B65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36F" w:rsidRDefault="00584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2D" w:rsidRPr="0052522D" w:rsidRDefault="0052522D" w:rsidP="0052522D">
    <w:pPr>
      <w:pStyle w:val="Header"/>
    </w:pPr>
    <w:r>
      <w:ptab w:relativeTo="margin" w:alignment="lef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2E3" w:rsidRDefault="00990DEA" w:rsidP="0006274D">
    <w:pPr>
      <w:pStyle w:val="Header"/>
      <w:jc w:val="right"/>
    </w:pPr>
    <w:r>
      <w:rPr>
        <w:rFonts w:cs="Arial"/>
        <w:noProof/>
        <w:szCs w:val="20"/>
        <w:lang w:eastAsia="en-GB"/>
      </w:rPr>
      <mc:AlternateContent>
        <mc:Choice Requires="wps">
          <w:drawing>
            <wp:anchor distT="0" distB="0" distL="114300" distR="114300" simplePos="0" relativeHeight="251628544" behindDoc="0" locked="0" layoutInCell="1" allowOverlap="1" wp14:anchorId="6826AD22" wp14:editId="3D282969">
              <wp:simplePos x="0" y="0"/>
              <wp:positionH relativeFrom="page">
                <wp:posOffset>9525</wp:posOffset>
              </wp:positionH>
              <wp:positionV relativeFrom="paragraph">
                <wp:posOffset>-539750</wp:posOffset>
              </wp:positionV>
              <wp:extent cx="7534275" cy="31337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34275" cy="31337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C4DF9" id="Rectangle 2" o:spid="_x0000_s1026" style="position:absolute;margin-left:.75pt;margin-top:-42.5pt;width:593.25pt;height:246.7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P2kgIAAIUFAAAOAAAAZHJzL2Uyb0RvYy54bWysVMFu2zAMvQ/YPwi6r06cZNmCOkXQosOA&#10;og3aDj2rshQLkEVNUuJkXz9Kcpy2K3YYloMiiuQj+Uzy/GLfarITziswFR2fjSgRhkOtzKaiPx6v&#10;P32hxAdmaqbBiIoehKcXy48fzju7ECU0oGvhCIIYv+hsRZsQ7KIoPG9Ey/wZWGFQKcG1LKDoNkXt&#10;WIforS7K0ehz0YGrrQMuvMfXq6yky4QvpeDhTkovAtEVxdxCOl06n+NZLM/ZYuOYbRTv02D/kEXL&#10;lMGgA9QVC4xsnfoDqlXcgQcZzji0BUipuEg1YDXj0ZtqHhpmRaoFyfF2oMn/P1h+u1s7ouqKlpQY&#10;1uInukfSmNloQcpIT2f9Aq0e7Nr1ksdrrHUvXRv/sQqyT5QeBkrFPhCOj/PZZFrOZ5Rw1E3Gk8m8&#10;nEXU4uRunQ/fBLQkXirqMHyiku1ufMimR5MYzYNW9bXSOgmxT8SldmTH8AuHfUoZwV9ZaRNtDUSv&#10;DBhfilhZriXdwkGLaKfNvZBICWZfpkRSM56CMM6FCeOsalgtcuzZCH99aYNHKjQBRmSJ8QfsHuB1&#10;AUfsnGVvH11F6uXBefS3xLLz4JEigwmDc6sMuPcANFbVR872R5IyNZGlZ6gP2DAO8iR5y68VfrYb&#10;5sOaORwdHDJcB+EOD6mhqyj0N0oacL/ee4/22NGopaTDUayo/7llTlCivxvs9a/j6TTObhKms3mJ&#10;gnupeX6pMdv2ErAXxrh4LE/XaB/08SodtE+4NVYxKqqY4Ri7ojy4o3AZ8orAvcPFapXMcF4tCzfm&#10;wfIIHlmNbfm4f2LO9r0bsO1v4Ti2bPGmhbNt9DSw2gaQKvX3ideeb5z11Dj9XorL5KWcrE7bc/kb&#10;AAD//wMAUEsDBBQABgAIAAAAIQCbZzvv3gAAAAoBAAAPAAAAZHJzL2Rvd25yZXYueG1sTI/BTsMw&#10;EETvSPyDtUjcWqeIIBPiVFElDlVPLQiJmxubJMJeB9tt3L9ne4LbjmY0+6ZeZ2fZ2YQ4epSwWhbA&#10;DHZej9hLeH97XQhgMSnUyno0Ei4mwrq5valVpf2Me3M+pJ5RCcZKSRhSmirOYzcYp+LSTwbJ+/LB&#10;qUQy9FwHNVO5s/yhKJ64UyPSh0FNZjOY7vtwchI22/mjtWL72Qv33O4y34f2J0t5f5fbF2DJ5PQX&#10;his+oUNDTEd/Qh2ZJV1SUMJClDTp6q+EoOso4bEQJfCm5v8nNL8AAAD//wMAUEsBAi0AFAAGAAgA&#10;AAAhALaDOJL+AAAA4QEAABMAAAAAAAAAAAAAAAAAAAAAAFtDb250ZW50X1R5cGVzXS54bWxQSwEC&#10;LQAUAAYACAAAACEAOP0h/9YAAACUAQAACwAAAAAAAAAAAAAAAAAvAQAAX3JlbHMvLnJlbHNQSwEC&#10;LQAUAAYACAAAACEA07uT9pICAACFBQAADgAAAAAAAAAAAAAAAAAuAgAAZHJzL2Uyb0RvYy54bWxQ&#10;SwECLQAUAAYACAAAACEAm2c7794AAAAKAQAADwAAAAAAAAAAAAAAAADsBAAAZHJzL2Rvd25yZXYu&#10;eG1sUEsFBgAAAAAEAAQA8wAAAPcFAAAAAA==&#10;" fillcolor="#002060 [3215]" stroked="f" strokeweight="2pt">
              <w10:wrap anchorx="page"/>
            </v:rect>
          </w:pict>
        </mc:Fallback>
      </mc:AlternateContent>
    </w:r>
    <w:r>
      <w:rPr>
        <w:rFonts w:cs="Arial"/>
        <w:noProof/>
        <w:lang w:eastAsia="en-GB"/>
      </w:rPr>
      <w:drawing>
        <wp:anchor distT="0" distB="0" distL="114300" distR="114300" simplePos="0" relativeHeight="251701248" behindDoc="0" locked="1" layoutInCell="1" allowOverlap="1" wp14:anchorId="551B7AB9">
          <wp:simplePos x="0" y="0"/>
          <wp:positionH relativeFrom="column">
            <wp:posOffset>-139065</wp:posOffset>
          </wp:positionH>
          <wp:positionV relativeFrom="page">
            <wp:posOffset>356235</wp:posOffset>
          </wp:positionV>
          <wp:extent cx="2337480" cy="960840"/>
          <wp:effectExtent l="0" t="0" r="571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80" cy="96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9984" behindDoc="0" locked="0" layoutInCell="1" allowOverlap="1" wp14:anchorId="4644498C" wp14:editId="066F4F50">
              <wp:simplePos x="0" y="0"/>
              <wp:positionH relativeFrom="column">
                <wp:posOffset>4899660</wp:posOffset>
              </wp:positionH>
              <wp:positionV relativeFrom="page">
                <wp:posOffset>1029970</wp:posOffset>
              </wp:positionV>
              <wp:extent cx="1247775" cy="29527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477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3178" w:rsidRDefault="003A08EE" w:rsidP="00425D75">
                          <w:pPr>
                            <w:jc w:val="right"/>
                            <w:rPr>
                              <w:rFonts w:cs="Arial"/>
                              <w:b/>
                              <w:color w:val="FFFFFF" w:themeColor="background2"/>
                            </w:rPr>
                          </w:pPr>
                          <w:r>
                            <w:rPr>
                              <w:rFonts w:cs="Arial"/>
                              <w:b/>
                              <w:color w:val="FFFFFF" w:themeColor="background2"/>
                            </w:rPr>
                            <w:t>1</w:t>
                          </w:r>
                          <w:r w:rsidR="003A1E8A">
                            <w:rPr>
                              <w:rFonts w:cs="Arial"/>
                              <w:b/>
                              <w:color w:val="FFFFFF" w:themeColor="background2"/>
                            </w:rPr>
                            <w:t>4</w:t>
                          </w:r>
                          <w:r w:rsidRPr="003A08EE">
                            <w:rPr>
                              <w:rFonts w:cs="Arial"/>
                              <w:b/>
                              <w:color w:val="FFFFFF" w:themeColor="background2"/>
                              <w:vertAlign w:val="superscript"/>
                            </w:rPr>
                            <w:t>th</w:t>
                          </w:r>
                          <w:r>
                            <w:rPr>
                              <w:rFonts w:cs="Arial"/>
                              <w:b/>
                              <w:color w:val="FFFFFF" w:themeColor="background2"/>
                            </w:rPr>
                            <w:t xml:space="preserve"> May</w:t>
                          </w:r>
                          <w:r w:rsidR="003A53DE">
                            <w:rPr>
                              <w:rFonts w:cs="Arial"/>
                              <w:b/>
                              <w:color w:val="FFFFFF" w:themeColor="background2"/>
                            </w:rPr>
                            <w:t xml:space="preserve"> 2021</w:t>
                          </w:r>
                        </w:p>
                        <w:p w:rsidR="00EE3178" w:rsidRPr="00EE3178" w:rsidRDefault="00EE3178" w:rsidP="00686676">
                          <w:pPr>
                            <w:rPr>
                              <w:rFonts w:cs="Arial"/>
                              <w:b/>
                              <w:color w:val="FFFFFF" w:themeColor="background2"/>
                            </w:rPr>
                          </w:pPr>
                        </w:p>
                        <w:p w:rsidR="00EE3178" w:rsidRPr="00686676" w:rsidRDefault="00EE3178">
                          <w:pPr>
                            <w:rPr>
                              <w:color w:val="FFFFFF" w:themeColor="background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44498C" id="_x0000_t202" coordsize="21600,21600" o:spt="202" path="m,l,21600r21600,l21600,xe">
              <v:stroke joinstyle="miter"/>
              <v:path gradientshapeok="t" o:connecttype="rect"/>
            </v:shapetype>
            <v:shape id="Text Box 7" o:spid="_x0000_s1031" type="#_x0000_t202" style="position:absolute;left:0;text-align:left;margin-left:385.8pt;margin-top:81.1pt;width:98.2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glewIAAGEFAAAOAAAAZHJzL2Uyb0RvYy54bWysVE1v2zAMvQ/YfxB0X51mTbMFdYqsRYcB&#10;RVusGXpWZKkxJomaxMTOfn0p2U6KbJcOu8g0+Ujx41EXl601bKtCrMGV/PRkxJlyEqraPZf8x/Lm&#10;wyfOIgpXCQNOlXynIr+cv3930fiZGsMaTKUCoyAuzhpf8jWinxVFlGtlRTwBrxwZNQQrkH7Dc1EF&#10;0VB0a4rxaHReNBAqH0CqGEl73Rn5PMfXWkm81zoqZKbklBvmM+Rzlc5ifiFmz0H4dS37NMQ/ZGFF&#10;7ejSfahrgYJtQv1HKFvLABE0nkiwBWhdS5VroGpOR0fVPK6FV7kWak70+zbF/xdW3m0fAqurkk85&#10;c8LSiJaqRfYFWjZN3Wl8nBHo0RMMW1LTlAd9JGUqutXBpi+Vw8hOfd7te5uCyeQ0PptOpxPOJNnG&#10;nydjkil8cfD2IeJXBZYloeSBZpdbKra3ETvoAEmXObipjcnzM441JT//OBllh72FghuXsCozoQ+T&#10;KuoyzxLujEoY474rTZ3IBSRF5qC6MoFtBbFHSKkc5tpzXEInlKYk3uLY4w9ZvcW5q2O4GRzunW3t&#10;IOTqj9Kufg4p6w5PPX9VdxKxXbWZAvvBrqDa0bwDdPsSvbypaSi3IuKDCLQgNGJaerynQxug5kMv&#10;cbaG8Ptv+oQn3pKVs4YWruTx10YExZn55ojRaTuzcDaZjuknDNrVa63b2CugaZzSs+JlFhMWzSDq&#10;APaJ3oRFuo1Mwkm6s+Q4iFfYrT+9KVItFhlEu+gF3rpHL1PoNJxEtWX7JILv+YjE5DsYVlLMjmjZ&#10;YZOng8UGQdeZs6m/XTf7vtMeZ9b3b056KF7/Z9ThZZy/AAAA//8DAFBLAwQUAAYACAAAACEAUavx&#10;8t8AAAALAQAADwAAAGRycy9kb3ducmV2LnhtbEyPy07DMBBF90j8gzVI7KiTLJI0xKkqpJYNGwpI&#10;LN148hD2OIrdNPw9wwqWo3t075l6tzorFpzD6ElBuklAILXejNQreH87PJQgQtRktPWECr4xwK65&#10;val1ZfyVXnE5xV5wCYVKKxhinCopQzug02HjJyTOOj87Hfmce2lmfeVyZ2WWJLl0eiReGPSETwO2&#10;X6eLUxBDZw+leTYv0/7jeJz7ZYufnVL3d+v+EUTENf7B8KvP6tCw09lfyARhFRRFmjPKQZ5lIJjY&#10;5mUK4qwgS8oCZFPL/z80PwAAAP//AwBQSwECLQAUAAYACAAAACEAtoM4kv4AAADhAQAAEwAAAAAA&#10;AAAAAAAAAAAAAAAAW0NvbnRlbnRfVHlwZXNdLnhtbFBLAQItABQABgAIAAAAIQA4/SH/1gAAAJQB&#10;AAALAAAAAAAAAAAAAAAAAC8BAABfcmVscy8ucmVsc1BLAQItABQABgAIAAAAIQB0S6glewIAAGEF&#10;AAAOAAAAAAAAAAAAAAAAAC4CAABkcnMvZTJvRG9jLnhtbFBLAQItABQABgAIAAAAIQBRq/Hy3wAA&#10;AAsBAAAPAAAAAAAAAAAAAAAAANUEAABkcnMvZG93bnJldi54bWxQSwUGAAAAAAQABADzAAAA4QUA&#10;AAAA&#10;" filled="f" stroked="f" strokeweight=".5pt">
              <v:textbox inset="0,,0">
                <w:txbxContent>
                  <w:p w:rsidR="00EE3178" w:rsidRDefault="003A08EE" w:rsidP="00425D75">
                    <w:pPr>
                      <w:jc w:val="right"/>
                      <w:rPr>
                        <w:rFonts w:cs="Arial"/>
                        <w:b/>
                        <w:color w:val="FFFFFF" w:themeColor="background2"/>
                      </w:rPr>
                    </w:pPr>
                    <w:r>
                      <w:rPr>
                        <w:rFonts w:cs="Arial"/>
                        <w:b/>
                        <w:color w:val="FFFFFF" w:themeColor="background2"/>
                      </w:rPr>
                      <w:t>1</w:t>
                    </w:r>
                    <w:r w:rsidR="003A1E8A">
                      <w:rPr>
                        <w:rFonts w:cs="Arial"/>
                        <w:b/>
                        <w:color w:val="FFFFFF" w:themeColor="background2"/>
                      </w:rPr>
                      <w:t>4</w:t>
                    </w:r>
                    <w:r w:rsidRPr="003A08EE">
                      <w:rPr>
                        <w:rFonts w:cs="Arial"/>
                        <w:b/>
                        <w:color w:val="FFFFFF" w:themeColor="background2"/>
                        <w:vertAlign w:val="superscript"/>
                      </w:rPr>
                      <w:t>th</w:t>
                    </w:r>
                    <w:r>
                      <w:rPr>
                        <w:rFonts w:cs="Arial"/>
                        <w:b/>
                        <w:color w:val="FFFFFF" w:themeColor="background2"/>
                      </w:rPr>
                      <w:t xml:space="preserve"> May</w:t>
                    </w:r>
                    <w:r w:rsidR="003A53DE">
                      <w:rPr>
                        <w:rFonts w:cs="Arial"/>
                        <w:b/>
                        <w:color w:val="FFFFFF" w:themeColor="background2"/>
                      </w:rPr>
                      <w:t xml:space="preserve"> 2021</w:t>
                    </w:r>
                  </w:p>
                  <w:p w:rsidR="00EE3178" w:rsidRPr="00EE3178" w:rsidRDefault="00EE3178" w:rsidP="00686676">
                    <w:pPr>
                      <w:rPr>
                        <w:rFonts w:cs="Arial"/>
                        <w:b/>
                        <w:color w:val="FFFFFF" w:themeColor="background2"/>
                      </w:rPr>
                    </w:pPr>
                  </w:p>
                  <w:p w:rsidR="00EE3178" w:rsidRPr="00686676" w:rsidRDefault="00EE3178">
                    <w:pPr>
                      <w:rPr>
                        <w:color w:val="FFFFFF" w:themeColor="background2"/>
                      </w:rPr>
                    </w:pPr>
                  </w:p>
                </w:txbxContent>
              </v:textbox>
              <w10:wrap anchory="page"/>
            </v:shape>
          </w:pict>
        </mc:Fallback>
      </mc:AlternateContent>
    </w:r>
    <w:r w:rsidR="0006274D">
      <w:rPr>
        <w:rFonts w:cs="Arial"/>
        <w:b/>
        <w:szCs w:val="20"/>
      </w:rPr>
      <w:tab/>
    </w:r>
    <w:r w:rsidR="0006274D">
      <w:rPr>
        <w:rFonts w:cs="Arial"/>
        <w:b/>
        <w:szCs w:val="20"/>
      </w:rPr>
      <w:tab/>
    </w:r>
    <w:r w:rsidR="0006274D" w:rsidRPr="00153DBD">
      <w:rPr>
        <w:rFonts w:cs="Arial"/>
        <w:b/>
        <w:szCs w:val="20"/>
      </w:rPr>
      <w:tab/>
      <w:t xml:space="preserve"> </w:t>
    </w:r>
  </w:p>
  <w:p w:rsidR="009B6834" w:rsidRDefault="009B6834">
    <w:pPr>
      <w:pStyle w:val="Header"/>
    </w:pPr>
  </w:p>
  <w:p w:rsidR="009B6834" w:rsidRDefault="009B6834">
    <w:pPr>
      <w:pStyle w:val="Header"/>
    </w:pPr>
  </w:p>
  <w:p w:rsidR="009B6834" w:rsidRDefault="009B6834">
    <w:pPr>
      <w:pStyle w:val="Header"/>
    </w:pPr>
  </w:p>
  <w:p w:rsidR="009B6834" w:rsidRDefault="009B6834">
    <w:pPr>
      <w:pStyle w:val="Header"/>
    </w:pPr>
  </w:p>
  <w:p w:rsidR="009B6834" w:rsidRDefault="009B6834">
    <w:pPr>
      <w:pStyle w:val="Header"/>
    </w:pPr>
  </w:p>
  <w:p w:rsidR="009B6834" w:rsidRDefault="00584097">
    <w:pPr>
      <w:pStyle w:val="Header"/>
    </w:pPr>
    <w:r>
      <w:rPr>
        <w:noProof/>
        <w:lang w:eastAsia="en-GB"/>
      </w:rPr>
      <mc:AlternateContent>
        <mc:Choice Requires="wps">
          <w:drawing>
            <wp:anchor distT="0" distB="0" distL="114300" distR="114300" simplePos="0" relativeHeight="251676672" behindDoc="0" locked="0" layoutInCell="1" allowOverlap="1" wp14:anchorId="07E59F73" wp14:editId="3D01DB28">
              <wp:simplePos x="0" y="0"/>
              <wp:positionH relativeFrom="margin">
                <wp:posOffset>-15240</wp:posOffset>
              </wp:positionH>
              <wp:positionV relativeFrom="paragraph">
                <wp:posOffset>107950</wp:posOffset>
              </wp:positionV>
              <wp:extent cx="6017260" cy="752475"/>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601726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08EE" w:rsidRPr="003A08EE" w:rsidRDefault="003A08EE" w:rsidP="003A08EE">
                          <w:pPr>
                            <w:rPr>
                              <w:rFonts w:cs="Arial"/>
                              <w:b/>
                              <w:bCs/>
                              <w:color w:val="FFFFFF" w:themeColor="background2"/>
                              <w:sz w:val="32"/>
                              <w:szCs w:val="32"/>
                            </w:rPr>
                          </w:pPr>
                          <w:r w:rsidRPr="003A08EE">
                            <w:rPr>
                              <w:rFonts w:cs="Arial"/>
                              <w:b/>
                              <w:bCs/>
                              <w:color w:val="FFFFFF" w:themeColor="background2"/>
                              <w:sz w:val="32"/>
                              <w:szCs w:val="32"/>
                            </w:rPr>
                            <w:t>Protecting pension savers – five years on from the Pension Freedoms: Accessing pension savings</w:t>
                          </w:r>
                        </w:p>
                        <w:p w:rsidR="00EE3178" w:rsidRPr="00686676" w:rsidRDefault="00EE3178">
                          <w:pPr>
                            <w:rPr>
                              <w:color w:val="FFFFFF" w:themeColor="background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59F73" id="Text Box 6" o:spid="_x0000_s1032" type="#_x0000_t202" style="position:absolute;margin-left:-1.2pt;margin-top:8.5pt;width:473.8pt;height:59.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anegIAAGEFAAAOAAAAZHJzL2Uyb0RvYy54bWysVN1v0zAQf0fif7D8ztKWtUXV0qlsGkKa&#10;tokN7dl17DbC9hn72qT89ZydpKsGL0O8OJe7331/XFy21rC9CrEGV/Lx2Ygz5SRUtduU/PvTzYdP&#10;nEUUrhIGnCr5QUV+uXz/7qLxCzWBLZhKBUZGXFw0vuRbRL8oiii3yop4Bl45EmoIViD9hk1RBdGQ&#10;dWuKyWg0KxoIlQ8gVYzEve6EfJnta60k3msdFTJTcooN8xvyu05vsbwQi00QflvLPgzxD1FYUTty&#10;ejR1LVCwXaj/MGVrGSCCxjMJtgCta6lyDpTNePQqm8et8CrnQsWJ/lim+P/Myrv9Q2B1VfIZZ05Y&#10;atGTapF9hpbNUnUaHxcEevQEw5bY1OWBH4mZkm51sOlL6TCSU50Px9omY5KYs9F4PpmRSJJsPp2c&#10;z6fJTPGi7UPELwosS0TJA/Uul1TsbyN20AGSnDm4qY3J/TOONeTh43SUFY4SMm5cwqo8Cb2ZlFEX&#10;eabwYFTCGPdNaapETiAx8gyqKxPYXtD0CCmVw5x7tkvohNIUxFsUe/xLVG9R7vIYPIPDo7KtHYSc&#10;/auwqx9DyLrDU81P8k4ktus2j8BkaOwaqgP1O0C3L9HLm5qacisiPohAC0J9pKXHe3q0ASo+9BRn&#10;Wwi//sZPeJpbknLW0MKVPP7ciaA4M18dTXTazkycT+cT+gkDd33KdTt7BdSNMZ0VLzOZsGgGUgew&#10;z3QTVskbiYST5LPkOJBX2K0/3RSpVqsMol30Am/do5fJdGpOGrWn9lkE388j0iTfwbCSYvFqLDts&#10;0nSw2iHoOs9sqm9Xzb7utMd56vubkw7F6X9GvVzG5W8AAAD//wMAUEsDBBQABgAIAAAAIQBdZz+5&#10;3gAAAAkBAAAPAAAAZHJzL2Rvd25yZXYueG1sTI/NTsMwEITvSLyDtUjcWofQQBviVBVSy4VLC5V6&#10;dOPNj7DXUeym4e1ZTnDcmdHsN8V6claMOITOk4KHeQICqfKmo0bB58d2tgQRoiajrSdU8I0B1uXt&#10;TaFz46+0x/EQG8ElFHKtoI2xz6UMVYtOh7nvkdir/eB05HNopBn0lcudlWmSPEmnO+IPre7xtcXq&#10;63BxCmKo7XZp3sx7vznudkMzrvBUK3V/N21eQESc4l8YfvEZHUpmOvsLmSCsglm64CTrzzyJ/dUi&#10;S0GcWXjMMpBlIf8vKH8AAAD//wMAUEsBAi0AFAAGAAgAAAAhALaDOJL+AAAA4QEAABMAAAAAAAAA&#10;AAAAAAAAAAAAAFtDb250ZW50X1R5cGVzXS54bWxQSwECLQAUAAYACAAAACEAOP0h/9YAAACUAQAA&#10;CwAAAAAAAAAAAAAAAAAvAQAAX3JlbHMvLnJlbHNQSwECLQAUAAYACAAAACEAFchmp3oCAABhBQAA&#10;DgAAAAAAAAAAAAAAAAAuAgAAZHJzL2Uyb0RvYy54bWxQSwECLQAUAAYACAAAACEAXWc/ud4AAAAJ&#10;AQAADwAAAAAAAAAAAAAAAADUBAAAZHJzL2Rvd25yZXYueG1sUEsFBgAAAAAEAAQA8wAAAN8FAAAA&#10;AA==&#10;" filled="f" stroked="f" strokeweight=".5pt">
              <v:textbox inset="0,,0">
                <w:txbxContent>
                  <w:p w:rsidR="003A08EE" w:rsidRPr="003A08EE" w:rsidRDefault="003A08EE" w:rsidP="003A08EE">
                    <w:pPr>
                      <w:rPr>
                        <w:rFonts w:cs="Arial"/>
                        <w:b/>
                        <w:bCs/>
                        <w:color w:val="FFFFFF" w:themeColor="background2"/>
                        <w:sz w:val="32"/>
                        <w:szCs w:val="32"/>
                      </w:rPr>
                    </w:pPr>
                    <w:r w:rsidRPr="003A08EE">
                      <w:rPr>
                        <w:rFonts w:cs="Arial"/>
                        <w:b/>
                        <w:bCs/>
                        <w:color w:val="FFFFFF" w:themeColor="background2"/>
                        <w:sz w:val="32"/>
                        <w:szCs w:val="32"/>
                      </w:rPr>
                      <w:t>Protecting pension savers – five years on from the Pension Freedoms: Accessing pension savings</w:t>
                    </w:r>
                  </w:p>
                  <w:p w:rsidR="00EE3178" w:rsidRPr="00686676" w:rsidRDefault="00EE3178">
                    <w:pPr>
                      <w:rPr>
                        <w:color w:val="FFFFFF" w:themeColor="background2"/>
                      </w:rPr>
                    </w:pPr>
                  </w:p>
                </w:txbxContent>
              </v:textbox>
              <w10:wrap anchorx="margin"/>
            </v:shape>
          </w:pict>
        </mc:Fallback>
      </mc:AlternateContent>
    </w:r>
  </w:p>
  <w:p w:rsidR="00D84325" w:rsidRDefault="00D84325">
    <w:pPr>
      <w:pStyle w:val="Header"/>
    </w:pPr>
  </w:p>
  <w:p w:rsidR="00D84325" w:rsidRDefault="00D84325">
    <w:pPr>
      <w:pStyle w:val="Header"/>
    </w:pPr>
  </w:p>
  <w:p w:rsidR="00686676" w:rsidRDefault="00990DEA">
    <w:pPr>
      <w:pStyle w:val="Header"/>
    </w:pPr>
    <w:r>
      <w:rPr>
        <w:noProof/>
        <w:lang w:eastAsia="en-GB"/>
      </w:rPr>
      <mc:AlternateContent>
        <mc:Choice Requires="wps">
          <w:drawing>
            <wp:anchor distT="0" distB="0" distL="114300" distR="114300" simplePos="0" relativeHeight="251652096" behindDoc="0" locked="0" layoutInCell="1" allowOverlap="1" wp14:anchorId="529F9772" wp14:editId="7611A27D">
              <wp:simplePos x="0" y="0"/>
              <wp:positionH relativeFrom="margin">
                <wp:posOffset>-5716</wp:posOffset>
              </wp:positionH>
              <wp:positionV relativeFrom="paragraph">
                <wp:posOffset>469900</wp:posOffset>
              </wp:positionV>
              <wp:extent cx="6257925" cy="762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25792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6676" w:rsidRPr="00EE3178" w:rsidRDefault="00686676" w:rsidP="00686676">
                          <w:pPr>
                            <w:rPr>
                              <w:rFonts w:cs="Arial"/>
                              <w:color w:val="FFFFFF" w:themeColor="background2"/>
                              <w:sz w:val="18"/>
                            </w:rPr>
                          </w:pPr>
                          <w:r w:rsidRPr="00EE3178">
                            <w:rPr>
                              <w:rFonts w:cs="Arial"/>
                              <w:color w:val="FFFFFF" w:themeColor="background2"/>
                              <w:sz w:val="18"/>
                            </w:rPr>
                            <w:t xml:space="preserve">The Institute and Faculty of Actuaries (IFoA) is a royal chartered, not-for-profit, professional body. We represent and regulate over 32,000 actuaries worldwide, and oversee their education at all stages of qualification and development throughout their careers.  </w:t>
                          </w:r>
                        </w:p>
                        <w:p w:rsidR="00686676" w:rsidRPr="00686676" w:rsidRDefault="00686676">
                          <w:pPr>
                            <w:rPr>
                              <w:color w:val="FFFFFF" w:themeColor="background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9F9772" id="Text Box 3" o:spid="_x0000_s1033" type="#_x0000_t202" style="position:absolute;margin-left:-.45pt;margin-top:37pt;width:492.75pt;height:60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MyfAIAAGEFAAAOAAAAZHJzL2Uyb0RvYy54bWysVFFP2zAQfp+0/2D5faSUFb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H&#10;nFnRoEX3qovsC3XsKLHTujAH6M4BFjuo0eVRH6BMRXfaN+mLchjs4Hm35zYFk1AeT2cnn6czziRs&#10;J8foXSa/ePZ2PsSvihqWhJJ79C5TKrZXISITQEdIuszSZW1M7p+xrMUNR7NJdthb4GFswqo8CUOY&#10;VFGfeZbizqiEMfa70mAiF5AUeQbVufFsKzA9QkplY649xwU6oTSSeIvjgH/O6i3OfR3jzWTj3rmp&#10;Lflc/au0q59jyrrHg8gXdScxdqtuGIGh4Suqdui3p35fgpOXNZpyJUK8FR4LghZj6eMNDm0I5NMg&#10;cbYm//tv+oTH3MLKWYuFK3n4tRFecWa+WUx02s4sfJydTPHjR+3qpdZumnNCNw7xrDiZxYSNZhS1&#10;p+YBb8Iy3QaTsBJ3ljyO4nns1x9vilTLZQZhF52IV/bOyRQ6NSeN2n33ILwb5jFikq9pXEkxfzWW&#10;PTZ5WlpuIuk6z2zit2dz4B17nEd5eHPSQ/HyP6OeX8bFEwAAAP//AwBQSwMEFAAGAAgAAAAhADDp&#10;hqTcAAAACAEAAA8AAABkcnMvZG93bnJldi54bWxMj81OwzAQhO9IvIO1SNxaB1SVJI1TVUgtFy4U&#10;kDi68eZHtdeR7abh7VlOcNyZT7Mz1XZ2VkwY4uBJwcMyA4HUeDNQp+Djfb/IQcSkyWjrCRV8Y4Rt&#10;fXtT6dL4K73hdEyd4BCKpVbQpzSWUsamR6fj0o9I7LU+OJ34DJ00QV853Fn5mGVr6fRA/KHXIz73&#10;2JyPF6cgxdbuc/NiXsfd5+EQuqnAr1ap+7t5twGRcE5/MPzW5+pQc6eTv5CJwipYFAwqeFrxIraL&#10;fLUGcWKuYEXWlfw/oP4BAAD//wMAUEsBAi0AFAAGAAgAAAAhALaDOJL+AAAA4QEAABMAAAAAAAAA&#10;AAAAAAAAAAAAAFtDb250ZW50X1R5cGVzXS54bWxQSwECLQAUAAYACAAAACEAOP0h/9YAAACUAQAA&#10;CwAAAAAAAAAAAAAAAAAvAQAAX3JlbHMvLnJlbHNQSwECLQAUAAYACAAAACEAH05jMnwCAABhBQAA&#10;DgAAAAAAAAAAAAAAAAAuAgAAZHJzL2Uyb0RvYy54bWxQSwECLQAUAAYACAAAACEAMOmGpNwAAAAI&#10;AQAADwAAAAAAAAAAAAAAAADWBAAAZHJzL2Rvd25yZXYueG1sUEsFBgAAAAAEAAQA8wAAAN8FAAAA&#10;AA==&#10;" filled="f" stroked="f" strokeweight=".5pt">
              <v:textbox inset="0,,0">
                <w:txbxContent>
                  <w:p w:rsidR="00686676" w:rsidRPr="00EE3178" w:rsidRDefault="00686676" w:rsidP="00686676">
                    <w:pPr>
                      <w:rPr>
                        <w:rFonts w:cs="Arial"/>
                        <w:color w:val="FFFFFF" w:themeColor="background2"/>
                        <w:sz w:val="18"/>
                      </w:rPr>
                    </w:pPr>
                    <w:r w:rsidRPr="00EE3178">
                      <w:rPr>
                        <w:rFonts w:cs="Arial"/>
                        <w:color w:val="FFFFFF" w:themeColor="background2"/>
                        <w:sz w:val="18"/>
                      </w:rPr>
                      <w:t xml:space="preserve">The Institute and Faculty of Actuaries (IFoA) is a royal chartered, not-for-profit, professional body. We represent and regulate over 32,000 actuaries worldwide, and oversee their education at all stages of qualification and development throughout their careers.  </w:t>
                    </w:r>
                  </w:p>
                  <w:p w:rsidR="00686676" w:rsidRPr="00686676" w:rsidRDefault="00686676">
                    <w:pPr>
                      <w:rPr>
                        <w:color w:val="FFFFFF" w:themeColor="background2"/>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DFA"/>
    <w:multiLevelType w:val="hybridMultilevel"/>
    <w:tmpl w:val="2098E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C32E4"/>
    <w:multiLevelType w:val="hybridMultilevel"/>
    <w:tmpl w:val="0EDC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154DD"/>
    <w:multiLevelType w:val="hybridMultilevel"/>
    <w:tmpl w:val="C4C0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F68AF"/>
    <w:multiLevelType w:val="hybridMultilevel"/>
    <w:tmpl w:val="12E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A1B45"/>
    <w:multiLevelType w:val="hybridMultilevel"/>
    <w:tmpl w:val="072CA450"/>
    <w:lvl w:ilvl="0" w:tplc="998C1CD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BF650C"/>
    <w:multiLevelType w:val="hybridMultilevel"/>
    <w:tmpl w:val="CFF692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7160C"/>
    <w:multiLevelType w:val="hybridMultilevel"/>
    <w:tmpl w:val="B8DAF10A"/>
    <w:lvl w:ilvl="0" w:tplc="F4FE6D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5D5C59"/>
    <w:multiLevelType w:val="hybridMultilevel"/>
    <w:tmpl w:val="14B6F3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DBC040D"/>
    <w:multiLevelType w:val="hybridMultilevel"/>
    <w:tmpl w:val="24E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E6F88"/>
    <w:multiLevelType w:val="hybridMultilevel"/>
    <w:tmpl w:val="0D3AE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35DCC"/>
    <w:multiLevelType w:val="hybridMultilevel"/>
    <w:tmpl w:val="D62E4E9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A7583"/>
    <w:multiLevelType w:val="hybridMultilevel"/>
    <w:tmpl w:val="D8C48EEE"/>
    <w:lvl w:ilvl="0" w:tplc="98324EB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540328"/>
    <w:multiLevelType w:val="hybridMultilevel"/>
    <w:tmpl w:val="1EFC319C"/>
    <w:lvl w:ilvl="0" w:tplc="F73E96F8">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452926"/>
    <w:multiLevelType w:val="hybridMultilevel"/>
    <w:tmpl w:val="84EC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76262"/>
    <w:multiLevelType w:val="hybridMultilevel"/>
    <w:tmpl w:val="0F38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B06A6"/>
    <w:multiLevelType w:val="hybridMultilevel"/>
    <w:tmpl w:val="78B2A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083973"/>
    <w:multiLevelType w:val="hybridMultilevel"/>
    <w:tmpl w:val="B0A06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D24CA"/>
    <w:multiLevelType w:val="hybridMultilevel"/>
    <w:tmpl w:val="28A0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608B4"/>
    <w:multiLevelType w:val="hybridMultilevel"/>
    <w:tmpl w:val="2098E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3C3F7F"/>
    <w:multiLevelType w:val="hybridMultilevel"/>
    <w:tmpl w:val="97BCAC4E"/>
    <w:lvl w:ilvl="0" w:tplc="8C5A037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2"/>
  </w:num>
  <w:num w:numId="3">
    <w:abstractNumId w:val="17"/>
  </w:num>
  <w:num w:numId="4">
    <w:abstractNumId w:val="14"/>
  </w:num>
  <w:num w:numId="5">
    <w:abstractNumId w:val="9"/>
  </w:num>
  <w:num w:numId="6">
    <w:abstractNumId w:val="8"/>
  </w:num>
  <w:num w:numId="7">
    <w:abstractNumId w:val="1"/>
  </w:num>
  <w:num w:numId="8">
    <w:abstractNumId w:val="13"/>
  </w:num>
  <w:num w:numId="9">
    <w:abstractNumId w:val="7"/>
  </w:num>
  <w:num w:numId="10">
    <w:abstractNumId w:val="15"/>
  </w:num>
  <w:num w:numId="11">
    <w:abstractNumId w:val="3"/>
  </w:num>
  <w:num w:numId="12">
    <w:abstractNumId w:val="4"/>
  </w:num>
  <w:num w:numId="13">
    <w:abstractNumId w:val="0"/>
  </w:num>
  <w:num w:numId="14">
    <w:abstractNumId w:val="18"/>
  </w:num>
  <w:num w:numId="15">
    <w:abstractNumId w:val="19"/>
  </w:num>
  <w:num w:numId="16">
    <w:abstractNumId w:val="10"/>
  </w:num>
  <w:num w:numId="17">
    <w:abstractNumId w:val="5"/>
  </w:num>
  <w:num w:numId="18">
    <w:abstractNumId w:val="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DE"/>
    <w:rsid w:val="0006274D"/>
    <w:rsid w:val="000645F1"/>
    <w:rsid w:val="00083DBE"/>
    <w:rsid w:val="000C4679"/>
    <w:rsid w:val="000D513E"/>
    <w:rsid w:val="00153B71"/>
    <w:rsid w:val="00190F29"/>
    <w:rsid w:val="001A4766"/>
    <w:rsid w:val="001A7B29"/>
    <w:rsid w:val="001D1BD8"/>
    <w:rsid w:val="00221026"/>
    <w:rsid w:val="0025345D"/>
    <w:rsid w:val="00255582"/>
    <w:rsid w:val="002F15BC"/>
    <w:rsid w:val="00334CF1"/>
    <w:rsid w:val="00341B0E"/>
    <w:rsid w:val="00343242"/>
    <w:rsid w:val="00357CF6"/>
    <w:rsid w:val="00375442"/>
    <w:rsid w:val="003A08EE"/>
    <w:rsid w:val="003A1E8A"/>
    <w:rsid w:val="003A53DE"/>
    <w:rsid w:val="003F5BB9"/>
    <w:rsid w:val="00401959"/>
    <w:rsid w:val="0041487D"/>
    <w:rsid w:val="00425D75"/>
    <w:rsid w:val="00472CE5"/>
    <w:rsid w:val="004802E3"/>
    <w:rsid w:val="00480910"/>
    <w:rsid w:val="00487614"/>
    <w:rsid w:val="004F03AB"/>
    <w:rsid w:val="004F61CD"/>
    <w:rsid w:val="0051360A"/>
    <w:rsid w:val="005161BD"/>
    <w:rsid w:val="0052522D"/>
    <w:rsid w:val="00550C49"/>
    <w:rsid w:val="0056607A"/>
    <w:rsid w:val="0058149A"/>
    <w:rsid w:val="00584097"/>
    <w:rsid w:val="0058436F"/>
    <w:rsid w:val="005E1256"/>
    <w:rsid w:val="005F7F8F"/>
    <w:rsid w:val="00686676"/>
    <w:rsid w:val="006F43DF"/>
    <w:rsid w:val="00706066"/>
    <w:rsid w:val="00734464"/>
    <w:rsid w:val="007422A6"/>
    <w:rsid w:val="00751F11"/>
    <w:rsid w:val="00791DB6"/>
    <w:rsid w:val="007A73D0"/>
    <w:rsid w:val="007E5E97"/>
    <w:rsid w:val="007F66C8"/>
    <w:rsid w:val="008355AB"/>
    <w:rsid w:val="008C5C16"/>
    <w:rsid w:val="008D1CAA"/>
    <w:rsid w:val="008E1B4D"/>
    <w:rsid w:val="00957071"/>
    <w:rsid w:val="009756E6"/>
    <w:rsid w:val="00983BC0"/>
    <w:rsid w:val="0098594B"/>
    <w:rsid w:val="00990DEA"/>
    <w:rsid w:val="009A4073"/>
    <w:rsid w:val="009B6834"/>
    <w:rsid w:val="009C18D3"/>
    <w:rsid w:val="009C6C32"/>
    <w:rsid w:val="009D752A"/>
    <w:rsid w:val="009E040D"/>
    <w:rsid w:val="00A07A37"/>
    <w:rsid w:val="00A07F65"/>
    <w:rsid w:val="00A24D33"/>
    <w:rsid w:val="00A31E1B"/>
    <w:rsid w:val="00B077AC"/>
    <w:rsid w:val="00B24A17"/>
    <w:rsid w:val="00B5381E"/>
    <w:rsid w:val="00B652E6"/>
    <w:rsid w:val="00B7544F"/>
    <w:rsid w:val="00B76CF7"/>
    <w:rsid w:val="00B82E07"/>
    <w:rsid w:val="00BB7841"/>
    <w:rsid w:val="00BC52F2"/>
    <w:rsid w:val="00BD44CC"/>
    <w:rsid w:val="00BD4FE2"/>
    <w:rsid w:val="00C04129"/>
    <w:rsid w:val="00C24441"/>
    <w:rsid w:val="00C422AB"/>
    <w:rsid w:val="00C62579"/>
    <w:rsid w:val="00C96677"/>
    <w:rsid w:val="00CA4082"/>
    <w:rsid w:val="00CA62E3"/>
    <w:rsid w:val="00CC3498"/>
    <w:rsid w:val="00CF69E6"/>
    <w:rsid w:val="00D051BE"/>
    <w:rsid w:val="00D15B52"/>
    <w:rsid w:val="00D600CD"/>
    <w:rsid w:val="00D80AFE"/>
    <w:rsid w:val="00D84325"/>
    <w:rsid w:val="00DD44E3"/>
    <w:rsid w:val="00E24768"/>
    <w:rsid w:val="00E27D5E"/>
    <w:rsid w:val="00E809E4"/>
    <w:rsid w:val="00EE3178"/>
    <w:rsid w:val="00F01DF4"/>
    <w:rsid w:val="00F3196D"/>
    <w:rsid w:val="00F414A4"/>
    <w:rsid w:val="00F8277A"/>
    <w:rsid w:val="00F94936"/>
    <w:rsid w:val="00FB4776"/>
    <w:rsid w:val="00FD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1387BB8-AAB2-44E3-B5F9-BEFA67DD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32"/>
    <w:rPr>
      <w:rFonts w:ascii="Arial" w:hAnsi="Arial"/>
      <w:color w:val="3F4548" w:themeColor="text1"/>
      <w:sz w:val="20"/>
    </w:rPr>
  </w:style>
  <w:style w:type="paragraph" w:styleId="Heading1">
    <w:name w:val="heading 1"/>
    <w:basedOn w:val="Normal"/>
    <w:next w:val="Normal"/>
    <w:link w:val="Heading1Char"/>
    <w:uiPriority w:val="9"/>
    <w:qFormat/>
    <w:rsid w:val="009C6C32"/>
    <w:pPr>
      <w:keepNext/>
      <w:keepLines/>
      <w:spacing w:before="240" w:after="0"/>
      <w:outlineLvl w:val="0"/>
    </w:pPr>
    <w:rPr>
      <w:rFonts w:eastAsiaTheme="majorEastAsia" w:cstheme="majorBidi"/>
      <w:color w:val="A27F10" w:themeColor="accent1" w:themeShade="BF"/>
      <w:sz w:val="32"/>
      <w:szCs w:val="32"/>
    </w:rPr>
  </w:style>
  <w:style w:type="paragraph" w:styleId="Heading2">
    <w:name w:val="heading 2"/>
    <w:basedOn w:val="Normal"/>
    <w:next w:val="Normal"/>
    <w:link w:val="Heading2Char"/>
    <w:uiPriority w:val="9"/>
    <w:unhideWhenUsed/>
    <w:qFormat/>
    <w:rsid w:val="009C6C32"/>
    <w:pPr>
      <w:keepNext/>
      <w:keepLines/>
      <w:spacing w:before="40" w:after="0"/>
      <w:outlineLvl w:val="1"/>
    </w:pPr>
    <w:rPr>
      <w:rFonts w:eastAsiaTheme="majorEastAsia" w:cstheme="majorBidi"/>
      <w:b/>
      <w:color w:val="A27F10"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2E6"/>
    <w:rPr>
      <w:rFonts w:ascii="Tahoma" w:hAnsi="Tahoma" w:cs="Tahoma"/>
      <w:sz w:val="16"/>
      <w:szCs w:val="16"/>
    </w:rPr>
  </w:style>
  <w:style w:type="paragraph" w:styleId="Header">
    <w:name w:val="header"/>
    <w:basedOn w:val="Normal"/>
    <w:link w:val="HeaderChar"/>
    <w:uiPriority w:val="99"/>
    <w:unhideWhenUsed/>
    <w:rsid w:val="00B65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2E6"/>
  </w:style>
  <w:style w:type="paragraph" w:styleId="Footer">
    <w:name w:val="footer"/>
    <w:basedOn w:val="Normal"/>
    <w:link w:val="FooterChar"/>
    <w:uiPriority w:val="99"/>
    <w:unhideWhenUsed/>
    <w:rsid w:val="00B65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2E6"/>
  </w:style>
  <w:style w:type="paragraph" w:customStyle="1" w:styleId="Addressdetails">
    <w:name w:val="Address_details"/>
    <w:basedOn w:val="Normal"/>
    <w:rsid w:val="00CA62E3"/>
    <w:pPr>
      <w:framePr w:w="3686" w:wrap="around" w:vAnchor="page" w:hAnchor="page" w:x="1135" w:y="2751" w:anchorLock="1"/>
      <w:spacing w:after="0" w:line="250" w:lineRule="exact"/>
    </w:pPr>
    <w:rPr>
      <w:sz w:val="19"/>
      <w:szCs w:val="17"/>
      <w:lang w:val="en-US"/>
    </w:rPr>
  </w:style>
  <w:style w:type="paragraph" w:customStyle="1" w:styleId="Datedetails">
    <w:name w:val="Date_details"/>
    <w:basedOn w:val="Normal"/>
    <w:rsid w:val="00CA62E3"/>
    <w:pPr>
      <w:framePr w:w="3515" w:wrap="around" w:vAnchor="page" w:hAnchor="page" w:x="7259" w:y="2751" w:anchorLock="1"/>
      <w:spacing w:after="0" w:line="250" w:lineRule="exact"/>
      <w:jc w:val="right"/>
    </w:pPr>
    <w:rPr>
      <w:sz w:val="19"/>
      <w:szCs w:val="17"/>
      <w:lang w:val="en-US"/>
    </w:rPr>
  </w:style>
  <w:style w:type="paragraph" w:styleId="ListParagraph">
    <w:name w:val="List Paragraph"/>
    <w:basedOn w:val="Normal"/>
    <w:uiPriority w:val="34"/>
    <w:qFormat/>
    <w:rsid w:val="0006274D"/>
    <w:pPr>
      <w:ind w:left="720"/>
      <w:contextualSpacing/>
    </w:pPr>
  </w:style>
  <w:style w:type="character" w:styleId="Hyperlink">
    <w:name w:val="Hyperlink"/>
    <w:basedOn w:val="DefaultParagraphFont"/>
    <w:uiPriority w:val="99"/>
    <w:unhideWhenUsed/>
    <w:rsid w:val="004802E3"/>
    <w:rPr>
      <w:color w:val="3F4548" w:themeColor="hyperlink"/>
      <w:u w:val="single"/>
    </w:rPr>
  </w:style>
  <w:style w:type="character" w:customStyle="1" w:styleId="Heading1Char">
    <w:name w:val="Heading 1 Char"/>
    <w:basedOn w:val="DefaultParagraphFont"/>
    <w:link w:val="Heading1"/>
    <w:uiPriority w:val="9"/>
    <w:rsid w:val="009C6C32"/>
    <w:rPr>
      <w:rFonts w:ascii="Arial" w:eastAsiaTheme="majorEastAsia" w:hAnsi="Arial" w:cstheme="majorBidi"/>
      <w:color w:val="A27F10" w:themeColor="accent1" w:themeShade="BF"/>
      <w:sz w:val="32"/>
      <w:szCs w:val="32"/>
    </w:rPr>
  </w:style>
  <w:style w:type="character" w:customStyle="1" w:styleId="Heading2Char">
    <w:name w:val="Heading 2 Char"/>
    <w:basedOn w:val="DefaultParagraphFont"/>
    <w:link w:val="Heading2"/>
    <w:uiPriority w:val="9"/>
    <w:rsid w:val="009C6C32"/>
    <w:rPr>
      <w:rFonts w:ascii="Arial" w:eastAsiaTheme="majorEastAsia" w:hAnsi="Arial" w:cstheme="majorBidi"/>
      <w:b/>
      <w:color w:val="A27F10" w:themeColor="accent1" w:themeShade="BF"/>
      <w:sz w:val="24"/>
      <w:szCs w:val="26"/>
    </w:rPr>
  </w:style>
  <w:style w:type="paragraph" w:styleId="Title">
    <w:name w:val="Title"/>
    <w:basedOn w:val="Normal"/>
    <w:next w:val="Normal"/>
    <w:link w:val="TitleChar"/>
    <w:autoRedefine/>
    <w:uiPriority w:val="10"/>
    <w:qFormat/>
    <w:rsid w:val="009C6C32"/>
    <w:pPr>
      <w:spacing w:after="0" w:line="240" w:lineRule="auto"/>
      <w:contextualSpacing/>
    </w:pPr>
    <w:rPr>
      <w:rFonts w:eastAsiaTheme="majorEastAsia" w:cstheme="majorBidi"/>
      <w:color w:val="002060" w:themeColor="text2"/>
      <w:spacing w:val="-10"/>
      <w:kern w:val="28"/>
      <w:sz w:val="56"/>
      <w:szCs w:val="56"/>
    </w:rPr>
  </w:style>
  <w:style w:type="character" w:customStyle="1" w:styleId="TitleChar">
    <w:name w:val="Title Char"/>
    <w:basedOn w:val="DefaultParagraphFont"/>
    <w:link w:val="Title"/>
    <w:uiPriority w:val="10"/>
    <w:rsid w:val="009C6C32"/>
    <w:rPr>
      <w:rFonts w:ascii="Arial" w:eastAsiaTheme="majorEastAsia" w:hAnsi="Arial" w:cstheme="majorBidi"/>
      <w:color w:val="002060" w:themeColor="text2"/>
      <w:spacing w:val="-10"/>
      <w:kern w:val="28"/>
      <w:sz w:val="56"/>
      <w:szCs w:val="56"/>
    </w:rPr>
  </w:style>
  <w:style w:type="paragraph" w:styleId="Subtitle">
    <w:name w:val="Subtitle"/>
    <w:basedOn w:val="Normal"/>
    <w:next w:val="Normal"/>
    <w:link w:val="SubtitleChar"/>
    <w:uiPriority w:val="11"/>
    <w:qFormat/>
    <w:rsid w:val="009C6C32"/>
    <w:pPr>
      <w:numPr>
        <w:ilvl w:val="1"/>
      </w:numPr>
      <w:spacing w:after="160"/>
    </w:pPr>
    <w:rPr>
      <w:rFonts w:eastAsiaTheme="minorEastAsia"/>
      <w:b/>
      <w:color w:val="7D888D" w:themeColor="text1" w:themeTint="A5"/>
    </w:rPr>
  </w:style>
  <w:style w:type="character" w:customStyle="1" w:styleId="SubtitleChar">
    <w:name w:val="Subtitle Char"/>
    <w:basedOn w:val="DefaultParagraphFont"/>
    <w:link w:val="Subtitle"/>
    <w:uiPriority w:val="11"/>
    <w:rsid w:val="009C6C32"/>
    <w:rPr>
      <w:rFonts w:ascii="Arial" w:eastAsiaTheme="minorEastAsia" w:hAnsi="Arial"/>
      <w:b/>
      <w:color w:val="7D888D" w:themeColor="text1" w:themeTint="A5"/>
      <w:sz w:val="20"/>
    </w:rPr>
  </w:style>
  <w:style w:type="paragraph" w:customStyle="1" w:styleId="Default">
    <w:name w:val="Default"/>
    <w:rsid w:val="003A53D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E1B4D"/>
    <w:pPr>
      <w:spacing w:after="0" w:line="240" w:lineRule="auto"/>
    </w:pPr>
    <w:rPr>
      <w:rFonts w:ascii="Arial" w:hAnsi="Arial"/>
      <w:color w:val="3F4548"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4937">
      <w:bodyDiv w:val="1"/>
      <w:marLeft w:val="0"/>
      <w:marRight w:val="0"/>
      <w:marTop w:val="0"/>
      <w:marBottom w:val="0"/>
      <w:divBdr>
        <w:top w:val="none" w:sz="0" w:space="0" w:color="auto"/>
        <w:left w:val="none" w:sz="0" w:space="0" w:color="auto"/>
        <w:bottom w:val="none" w:sz="0" w:space="0" w:color="auto"/>
        <w:right w:val="none" w:sz="0" w:space="0" w:color="auto"/>
      </w:divBdr>
    </w:div>
    <w:div w:id="556163137">
      <w:bodyDiv w:val="1"/>
      <w:marLeft w:val="0"/>
      <w:marRight w:val="0"/>
      <w:marTop w:val="0"/>
      <w:marBottom w:val="0"/>
      <w:divBdr>
        <w:top w:val="none" w:sz="0" w:space="0" w:color="auto"/>
        <w:left w:val="none" w:sz="0" w:space="0" w:color="auto"/>
        <w:bottom w:val="none" w:sz="0" w:space="0" w:color="auto"/>
        <w:right w:val="none" w:sz="0" w:space="0" w:color="auto"/>
      </w:divBdr>
    </w:div>
    <w:div w:id="569537584">
      <w:bodyDiv w:val="1"/>
      <w:marLeft w:val="0"/>
      <w:marRight w:val="0"/>
      <w:marTop w:val="0"/>
      <w:marBottom w:val="0"/>
      <w:divBdr>
        <w:top w:val="none" w:sz="0" w:space="0" w:color="auto"/>
        <w:left w:val="none" w:sz="0" w:space="0" w:color="auto"/>
        <w:bottom w:val="none" w:sz="0" w:space="0" w:color="auto"/>
        <w:right w:val="none" w:sz="0" w:space="0" w:color="auto"/>
      </w:divBdr>
    </w:div>
    <w:div w:id="943422517">
      <w:bodyDiv w:val="1"/>
      <w:marLeft w:val="0"/>
      <w:marRight w:val="0"/>
      <w:marTop w:val="0"/>
      <w:marBottom w:val="0"/>
      <w:divBdr>
        <w:top w:val="none" w:sz="0" w:space="0" w:color="auto"/>
        <w:left w:val="none" w:sz="0" w:space="0" w:color="auto"/>
        <w:bottom w:val="none" w:sz="0" w:space="0" w:color="auto"/>
        <w:right w:val="none" w:sz="0" w:space="0" w:color="auto"/>
      </w:divBdr>
    </w:div>
    <w:div w:id="1129543744">
      <w:bodyDiv w:val="1"/>
      <w:marLeft w:val="0"/>
      <w:marRight w:val="0"/>
      <w:marTop w:val="0"/>
      <w:marBottom w:val="0"/>
      <w:divBdr>
        <w:top w:val="none" w:sz="0" w:space="0" w:color="auto"/>
        <w:left w:val="none" w:sz="0" w:space="0" w:color="auto"/>
        <w:bottom w:val="none" w:sz="0" w:space="0" w:color="auto"/>
        <w:right w:val="none" w:sz="0" w:space="0" w:color="auto"/>
      </w:divBdr>
    </w:div>
    <w:div w:id="1565604434">
      <w:bodyDiv w:val="1"/>
      <w:marLeft w:val="0"/>
      <w:marRight w:val="0"/>
      <w:marTop w:val="0"/>
      <w:marBottom w:val="0"/>
      <w:divBdr>
        <w:top w:val="none" w:sz="0" w:space="0" w:color="auto"/>
        <w:left w:val="none" w:sz="0" w:space="0" w:color="auto"/>
        <w:bottom w:val="none" w:sz="0" w:space="0" w:color="auto"/>
        <w:right w:val="none" w:sz="0" w:space="0" w:color="auto"/>
      </w:divBdr>
    </w:div>
    <w:div w:id="1638994334">
      <w:bodyDiv w:val="1"/>
      <w:marLeft w:val="0"/>
      <w:marRight w:val="0"/>
      <w:marTop w:val="0"/>
      <w:marBottom w:val="0"/>
      <w:divBdr>
        <w:top w:val="none" w:sz="0" w:space="0" w:color="auto"/>
        <w:left w:val="none" w:sz="0" w:space="0" w:color="auto"/>
        <w:bottom w:val="none" w:sz="0" w:space="0" w:color="auto"/>
        <w:right w:val="none" w:sz="0" w:space="0" w:color="auto"/>
      </w:divBdr>
    </w:div>
    <w:div w:id="16945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uaries.org.uk/system/files/field/document/TGRT_Campaign_Recommendations_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tuaries.org.uk/system/files/field/document/TGRT_Campaign_Recommendations_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olan.ward@actuaries.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ifoa generic 01">
      <a:dk1>
        <a:srgbClr val="3F4548"/>
      </a:dk1>
      <a:lt1>
        <a:sysClr val="window" lastClr="FFFFFF"/>
      </a:lt1>
      <a:dk2>
        <a:srgbClr val="002060"/>
      </a:dk2>
      <a:lt2>
        <a:srgbClr val="FFFFFF"/>
      </a:lt2>
      <a:accent1>
        <a:srgbClr val="D9AB16"/>
      </a:accent1>
      <a:accent2>
        <a:srgbClr val="113458"/>
      </a:accent2>
      <a:accent3>
        <a:srgbClr val="4096B8"/>
      </a:accent3>
      <a:accent4>
        <a:srgbClr val="8076CF"/>
      </a:accent4>
      <a:accent5>
        <a:srgbClr val="11B3A2"/>
      </a:accent5>
      <a:accent6>
        <a:srgbClr val="7CB3E1"/>
      </a:accent6>
      <a:hlink>
        <a:srgbClr val="3F4548"/>
      </a:hlink>
      <a:folHlink>
        <a:srgbClr val="3F454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364B-592E-4B1A-87EE-58196E0B967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4406EDA-9DEF-4D02-A2E8-5948471E5820}">
  <ds:schemaRefs>
    <ds:schemaRef ds:uri="http://schemas.microsoft.com/sharepoint/v3/contenttype/forms"/>
  </ds:schemaRefs>
</ds:datastoreItem>
</file>

<file path=customXml/itemProps3.xml><?xml version="1.0" encoding="utf-8"?>
<ds:datastoreItem xmlns:ds="http://schemas.openxmlformats.org/officeDocument/2006/customXml" ds:itemID="{015B2E54-8E70-44E0-A767-B58791985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B77ECC-5BEB-4607-8A85-B687F701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Words>
  <Characters>716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Caolan Ward</dc:creator>
  <cp:lastModifiedBy>Caolan Ward</cp:lastModifiedBy>
  <cp:revision>2</cp:revision>
  <cp:lastPrinted>2012-12-17T18:03:00Z</cp:lastPrinted>
  <dcterms:created xsi:type="dcterms:W3CDTF">2021-05-14T16:25:00Z</dcterms:created>
  <dcterms:modified xsi:type="dcterms:W3CDTF">2021-05-14T16:25:00Z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simon.eagle@towerswatson.com</vt:lpwstr>
  </property>
  <property fmtid="{D5CDD505-2E9C-101B-9397-08002B2CF9AE}" pid="6" name="MSIP_Label_9c700311-1b20-487f-9129-30717d50ca8e_SetDate">
    <vt:lpwstr>2021-05-14T10:43:00.2730458Z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ActionId">
    <vt:lpwstr>378b96e7-18a4-44bb-a4ac-2ee4a57517a5</vt:lpwstr>
  </property>
  <property fmtid="{D5CDD505-2E9C-101B-9397-08002B2CF9AE}" pid="10" name="MSIP_Label_9c700311-1b20-487f-9129-30717d50ca8e_Extended_MSFT_Method">
    <vt:lpwstr>Automatic</vt:lpwstr>
  </property>
  <property fmtid="{D5CDD505-2E9C-101B-9397-08002B2CF9AE}" pid="11" name="MSIP_Label_d347b247-e90e-43a3-9d7b-004f14ae6873_Enabled">
    <vt:lpwstr>True</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Owner">
    <vt:lpwstr>simon.eagle@towerswatson.com</vt:lpwstr>
  </property>
  <property fmtid="{D5CDD505-2E9C-101B-9397-08002B2CF9AE}" pid="14" name="MSIP_Label_d347b247-e90e-43a3-9d7b-004f14ae6873_SetDate">
    <vt:lpwstr>2021-05-14T10:43:00.2730458Z</vt:lpwstr>
  </property>
  <property fmtid="{D5CDD505-2E9C-101B-9397-08002B2CF9AE}" pid="15" name="MSIP_Label_d347b247-e90e-43a3-9d7b-004f14ae6873_Name">
    <vt:lpwstr>Anyone (No Protection)</vt:lpwstr>
  </property>
  <property fmtid="{D5CDD505-2E9C-101B-9397-08002B2CF9AE}" pid="16" name="MSIP_Label_d347b247-e90e-43a3-9d7b-004f14ae6873_Application">
    <vt:lpwstr>Microsoft Azure Information Protection</vt:lpwstr>
  </property>
  <property fmtid="{D5CDD505-2E9C-101B-9397-08002B2CF9AE}" pid="17" name="MSIP_Label_d347b247-e90e-43a3-9d7b-004f14ae6873_ActionId">
    <vt:lpwstr>378b96e7-18a4-44bb-a4ac-2ee4a57517a5</vt:lpwstr>
  </property>
  <property fmtid="{D5CDD505-2E9C-101B-9397-08002B2CF9AE}" pid="18" name="MSIP_Label_d347b247-e90e-43a3-9d7b-004f14ae6873_Parent">
    <vt:lpwstr>9c700311-1b20-487f-9129-30717d50ca8e</vt:lpwstr>
  </property>
  <property fmtid="{D5CDD505-2E9C-101B-9397-08002B2CF9AE}" pid="19" name="MSIP_Label_d347b247-e90e-43a3-9d7b-004f14ae6873_Extended_MSFT_Method">
    <vt:lpwstr>Automatic</vt:lpwstr>
  </property>
  <property fmtid="{D5CDD505-2E9C-101B-9397-08002B2CF9AE}" pid="20" name="Sensitivity">
    <vt:lpwstr>Confidential Anyone (No Protection)</vt:lpwstr>
  </property>
</Properties>
</file>